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92C" w:rsidRPr="005542C8" w:rsidRDefault="00104A55">
      <w:pPr>
        <w:rPr>
          <w:b/>
        </w:rPr>
      </w:pPr>
      <w:r w:rsidRPr="005542C8">
        <w:rPr>
          <w:b/>
        </w:rPr>
        <w:t>Nutriëntengehalten van de jongst volgroeide bladeren van suikerbieten</w:t>
      </w:r>
    </w:p>
    <w:p w:rsidR="00104A55" w:rsidRPr="00066EB5" w:rsidRDefault="00104A55">
      <w:pPr>
        <w:rPr>
          <w:b/>
        </w:rPr>
      </w:pPr>
      <w:r w:rsidRPr="00066EB5">
        <w:rPr>
          <w:b/>
        </w:rPr>
        <w:t>Inleiding</w:t>
      </w:r>
    </w:p>
    <w:p w:rsidR="00104A55" w:rsidRDefault="00104A55" w:rsidP="001A2D5D">
      <w:pPr>
        <w:spacing w:after="0"/>
      </w:pPr>
      <w:r>
        <w:t>De afgelopen twintig jaar heeft het IRS jaarlijks van diverse bietenpercelen de nutriëntengehalten van de jongst volgroeide bladeren vastgesteld. Het doel hiervan was om een indruk te krijgen van de voedingstoestand van het bietengewas. Wanneer is er sprake van een tekort of overmaat en kan hier eventueel op ingespeeld worden?</w:t>
      </w:r>
      <w:r w:rsidR="005134FF">
        <w:t xml:space="preserve"> Bladanalyse wordt ook regelmatig uitgevoerd om bij twijfel vast te stellen om welk nutriëntgebrek het gaat.</w:t>
      </w:r>
    </w:p>
    <w:p w:rsidR="00104A55" w:rsidRDefault="00104A55" w:rsidP="001A2D5D">
      <w:pPr>
        <w:spacing w:after="0"/>
      </w:pPr>
      <w:r>
        <w:t>Gekozen is voor bemonstering van jongst volgroeide bladeren, omdat dan in (een groot deel van) het groeiseizoen blad wordt bemonsterd met min of meer gelijke fysiologische leeftijd</w:t>
      </w:r>
      <w:r w:rsidR="00CC6177">
        <w:t>. Voor de interpretatie van de gehalten zou het tijdstip van bemonsteren dan niet uitmaken.</w:t>
      </w:r>
    </w:p>
    <w:p w:rsidR="00CC6177" w:rsidRDefault="00CC6177" w:rsidP="001A2D5D">
      <w:pPr>
        <w:spacing w:after="0"/>
      </w:pPr>
      <w:r>
        <w:t xml:space="preserve">In de literatuur staat beschreven bij welke gehalten van het bietenblad er sprake is van gebrek en mogelijk ook van overmaat </w:t>
      </w:r>
      <w:r w:rsidR="000F2F37">
        <w:rPr>
          <w:vertAlign w:val="superscript"/>
        </w:rPr>
        <w:t>1</w:t>
      </w:r>
      <w:r>
        <w:t>. In tabel 1 staan voor de jongst volgroeide bietenbladeren de kritische gehalten voor diverse nutriënten, de range waarbinnen gebrekssymptomen zichtbaar zijn en de range waarbinnen men geen gebrek hoeft te verwachten.</w:t>
      </w:r>
      <w:r w:rsidR="00D56B14">
        <w:t xml:space="preserve"> Deze gehalten zijn </w:t>
      </w:r>
      <w:r w:rsidR="001C6F3B">
        <w:t>voor 1990</w:t>
      </w:r>
      <w:r w:rsidR="00D56B14">
        <w:t xml:space="preserve"> vastgesteld en kunnen wellicht aan actualiteitswaarde enigszins ingeboet hebben. De actuele bladanalyses worden desalniettemin getoetst aan deze waarden.</w:t>
      </w:r>
    </w:p>
    <w:p w:rsidR="00D56B14" w:rsidRDefault="00D56B14" w:rsidP="001A2D5D">
      <w:pPr>
        <w:spacing w:after="0"/>
      </w:pPr>
      <w:r>
        <w:t>De bladanalyses zijn uitgevoerd in eerste instantie met HPLC, later met ICP. Onderzoek door het IRS heeft uitgewezen dat de uitkomsten van beide analysemethoden vrijwel identiek waren. Zo bedroegen de correlaties tussen beide methoden voor kalium 0,99 en voor magnesium 0,98.</w:t>
      </w:r>
    </w:p>
    <w:p w:rsidR="00D56B14" w:rsidRDefault="00D56B14" w:rsidP="00D56B14">
      <w:pPr>
        <w:ind w:left="1418" w:hanging="1418"/>
      </w:pPr>
      <w:r w:rsidRPr="00BF5799">
        <w:rPr>
          <w:b/>
        </w:rPr>
        <w:t>Tabel 1.</w:t>
      </w:r>
      <w:r>
        <w:tab/>
        <w:t>De</w:t>
      </w:r>
      <w:r w:rsidR="005542C8">
        <w:t xml:space="preserve"> kritische</w:t>
      </w:r>
      <w:r>
        <w:t xml:space="preserve"> nutriëntengehalten van jongst volgroeide bietenbladeren</w:t>
      </w:r>
      <w:r w:rsidR="005542C8">
        <w:t xml:space="preserve"> en de range waarbinnen men wel en geen gebrek kan verwachten</w:t>
      </w:r>
      <w:r>
        <w:t xml:space="preserve"> (mg per 100 g droge stof).</w:t>
      </w:r>
    </w:p>
    <w:tbl>
      <w:tblPr>
        <w:tblW w:w="4657" w:type="pct"/>
        <w:tblBorders>
          <w:top w:val="single" w:sz="12" w:space="0" w:color="000000"/>
          <w:left w:val="nil"/>
          <w:bottom w:val="single" w:sz="12" w:space="0" w:color="000000"/>
          <w:right w:val="nil"/>
          <w:insideH w:val="nil"/>
          <w:insideV w:val="nil"/>
        </w:tblBorders>
        <w:tblCellMar>
          <w:left w:w="70" w:type="dxa"/>
          <w:right w:w="70" w:type="dxa"/>
        </w:tblCellMar>
        <w:tblLook w:val="00A0" w:firstRow="1" w:lastRow="0" w:firstColumn="1" w:lastColumn="0" w:noHBand="0" w:noVBand="0"/>
      </w:tblPr>
      <w:tblGrid>
        <w:gridCol w:w="969"/>
        <w:gridCol w:w="1722"/>
        <w:gridCol w:w="2567"/>
        <w:gridCol w:w="3192"/>
      </w:tblGrid>
      <w:tr w:rsidR="00F77CD3" w:rsidRPr="00921150" w:rsidTr="00921150">
        <w:trPr>
          <w:trHeight w:val="300"/>
        </w:trPr>
        <w:tc>
          <w:tcPr>
            <w:tcW w:w="573" w:type="pct"/>
            <w:tcBorders>
              <w:bottom w:val="single" w:sz="6" w:space="0" w:color="000000"/>
              <w:right w:val="single" w:sz="6" w:space="0" w:color="000000"/>
            </w:tcBorders>
            <w:shd w:val="clear" w:color="auto" w:fill="auto"/>
            <w:noWrap/>
            <w:vAlign w:val="bottom"/>
            <w:hideMark/>
          </w:tcPr>
          <w:p w:rsidR="00F77CD3" w:rsidRPr="00921150" w:rsidRDefault="00F77CD3" w:rsidP="00F77CD3">
            <w:pPr>
              <w:spacing w:after="0" w:line="240" w:lineRule="auto"/>
              <w:rPr>
                <w:rFonts w:ascii="Calibri" w:eastAsia="Times New Roman" w:hAnsi="Calibri" w:cs="Times New Roman"/>
                <w:i/>
                <w:iCs/>
                <w:lang w:eastAsia="nl-NL"/>
              </w:rPr>
            </w:pPr>
            <w:r w:rsidRPr="00921150">
              <w:rPr>
                <w:rFonts w:ascii="Calibri" w:eastAsia="Times New Roman" w:hAnsi="Calibri" w:cs="Times New Roman"/>
                <w:i/>
                <w:iCs/>
                <w:lang w:eastAsia="nl-NL"/>
              </w:rPr>
              <w:t>nutriënt</w:t>
            </w:r>
          </w:p>
        </w:tc>
        <w:tc>
          <w:tcPr>
            <w:tcW w:w="1019" w:type="pct"/>
            <w:tcBorders>
              <w:left w:val="single" w:sz="6" w:space="0" w:color="000000"/>
              <w:bottom w:val="single" w:sz="6" w:space="0" w:color="000000"/>
            </w:tcBorders>
            <w:shd w:val="clear" w:color="auto" w:fill="auto"/>
            <w:noWrap/>
            <w:vAlign w:val="bottom"/>
            <w:hideMark/>
          </w:tcPr>
          <w:p w:rsidR="00F77CD3" w:rsidRPr="00921150" w:rsidRDefault="00F77CD3" w:rsidP="00F267BB">
            <w:pPr>
              <w:spacing w:after="0" w:line="240" w:lineRule="auto"/>
              <w:jc w:val="center"/>
              <w:rPr>
                <w:rFonts w:ascii="Calibri" w:eastAsia="Times New Roman" w:hAnsi="Calibri" w:cs="Times New Roman"/>
                <w:i/>
                <w:iCs/>
                <w:lang w:eastAsia="nl-NL"/>
              </w:rPr>
            </w:pPr>
            <w:r w:rsidRPr="00921150">
              <w:rPr>
                <w:rFonts w:ascii="Calibri" w:eastAsia="Times New Roman" w:hAnsi="Calibri" w:cs="Times New Roman"/>
                <w:i/>
                <w:iCs/>
                <w:lang w:eastAsia="nl-NL"/>
              </w:rPr>
              <w:t>kritische waarde</w:t>
            </w:r>
          </w:p>
        </w:tc>
        <w:tc>
          <w:tcPr>
            <w:tcW w:w="1519" w:type="pct"/>
            <w:tcBorders>
              <w:bottom w:val="single" w:sz="6" w:space="0" w:color="000000"/>
            </w:tcBorders>
            <w:shd w:val="clear" w:color="auto" w:fill="auto"/>
            <w:noWrap/>
            <w:vAlign w:val="bottom"/>
            <w:hideMark/>
          </w:tcPr>
          <w:p w:rsidR="00F77CD3" w:rsidRPr="00921150" w:rsidRDefault="00F77CD3" w:rsidP="00F267BB">
            <w:pPr>
              <w:spacing w:after="0" w:line="240" w:lineRule="auto"/>
              <w:jc w:val="center"/>
              <w:rPr>
                <w:rFonts w:ascii="Calibri" w:eastAsia="Times New Roman" w:hAnsi="Calibri" w:cs="Times New Roman"/>
                <w:i/>
                <w:iCs/>
                <w:lang w:eastAsia="nl-NL"/>
              </w:rPr>
            </w:pPr>
            <w:r w:rsidRPr="00921150">
              <w:rPr>
                <w:rFonts w:ascii="Calibri" w:eastAsia="Times New Roman" w:hAnsi="Calibri" w:cs="Times New Roman"/>
                <w:i/>
                <w:iCs/>
                <w:lang w:eastAsia="nl-NL"/>
              </w:rPr>
              <w:t>range gebreks</w:t>
            </w:r>
            <w:r w:rsidR="00B64416" w:rsidRPr="00921150">
              <w:rPr>
                <w:rFonts w:ascii="Calibri" w:eastAsia="Times New Roman" w:hAnsi="Calibri" w:cs="Times New Roman"/>
                <w:i/>
                <w:iCs/>
                <w:lang w:eastAsia="nl-NL"/>
              </w:rPr>
              <w:t>symptomen</w:t>
            </w:r>
          </w:p>
        </w:tc>
        <w:tc>
          <w:tcPr>
            <w:tcW w:w="1889" w:type="pct"/>
            <w:tcBorders>
              <w:bottom w:val="single" w:sz="6" w:space="0" w:color="000000"/>
            </w:tcBorders>
            <w:shd w:val="clear" w:color="auto" w:fill="auto"/>
            <w:noWrap/>
            <w:vAlign w:val="bottom"/>
            <w:hideMark/>
          </w:tcPr>
          <w:p w:rsidR="00F77CD3" w:rsidRPr="00921150" w:rsidRDefault="00F77CD3" w:rsidP="00F267BB">
            <w:pPr>
              <w:spacing w:after="0" w:line="240" w:lineRule="auto"/>
              <w:jc w:val="center"/>
              <w:rPr>
                <w:rFonts w:ascii="Calibri" w:eastAsia="Times New Roman" w:hAnsi="Calibri" w:cs="Times New Roman"/>
                <w:i/>
                <w:iCs/>
                <w:lang w:eastAsia="nl-NL"/>
              </w:rPr>
            </w:pPr>
            <w:r w:rsidRPr="00921150">
              <w:rPr>
                <w:rFonts w:ascii="Calibri" w:eastAsia="Times New Roman" w:hAnsi="Calibri" w:cs="Times New Roman"/>
                <w:i/>
                <w:iCs/>
                <w:lang w:eastAsia="nl-NL"/>
              </w:rPr>
              <w:t>range geen gebrek</w:t>
            </w:r>
            <w:r w:rsidR="00FA64FD" w:rsidRPr="00921150">
              <w:rPr>
                <w:rFonts w:ascii="Calibri" w:eastAsia="Times New Roman" w:hAnsi="Calibri" w:cs="Times New Roman"/>
                <w:i/>
                <w:iCs/>
                <w:lang w:eastAsia="nl-NL"/>
              </w:rPr>
              <w:t>ssymptomen</w:t>
            </w:r>
            <w:r w:rsidR="00717D5C" w:rsidRPr="00921150">
              <w:rPr>
                <w:rFonts w:ascii="Calibri" w:eastAsia="Times New Roman" w:hAnsi="Calibri" w:cs="Times New Roman"/>
                <w:i/>
                <w:iCs/>
                <w:vertAlign w:val="superscript"/>
                <w:lang w:eastAsia="nl-NL"/>
              </w:rPr>
              <w:t>**</w:t>
            </w:r>
          </w:p>
        </w:tc>
      </w:tr>
      <w:tr w:rsidR="00F77CD3" w:rsidRPr="00921150" w:rsidTr="00921150">
        <w:trPr>
          <w:trHeight w:val="300"/>
        </w:trPr>
        <w:tc>
          <w:tcPr>
            <w:tcW w:w="573" w:type="pct"/>
            <w:tcBorders>
              <w:top w:val="single" w:sz="6" w:space="0" w:color="000000"/>
              <w:right w:val="single" w:sz="6" w:space="0" w:color="000000"/>
            </w:tcBorders>
            <w:shd w:val="clear" w:color="auto" w:fill="auto"/>
            <w:noWrap/>
            <w:vAlign w:val="bottom"/>
            <w:hideMark/>
          </w:tcPr>
          <w:p w:rsidR="00F77CD3" w:rsidRPr="00921150" w:rsidRDefault="00F77CD3" w:rsidP="00F77CD3">
            <w:pPr>
              <w:spacing w:after="0" w:line="240" w:lineRule="auto"/>
              <w:rPr>
                <w:rFonts w:ascii="Calibri" w:eastAsia="Times New Roman" w:hAnsi="Calibri" w:cs="Times New Roman"/>
                <w:lang w:eastAsia="nl-NL"/>
              </w:rPr>
            </w:pPr>
            <w:r w:rsidRPr="00921150">
              <w:rPr>
                <w:rFonts w:ascii="Calibri" w:eastAsia="Times New Roman" w:hAnsi="Calibri" w:cs="Times New Roman"/>
                <w:lang w:eastAsia="nl-NL"/>
              </w:rPr>
              <w:t>N</w:t>
            </w:r>
          </w:p>
        </w:tc>
        <w:tc>
          <w:tcPr>
            <w:tcW w:w="1019" w:type="pct"/>
            <w:tcBorders>
              <w:top w:val="single" w:sz="6" w:space="0" w:color="000000"/>
              <w:left w:val="single" w:sz="6" w:space="0" w:color="000000"/>
            </w:tcBorders>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nb</w:t>
            </w:r>
            <w:r w:rsidRPr="00921150">
              <w:rPr>
                <w:rFonts w:ascii="Calibri" w:eastAsia="Times New Roman" w:hAnsi="Calibri" w:cs="Times New Roman"/>
                <w:vertAlign w:val="superscript"/>
                <w:lang w:eastAsia="nl-NL"/>
              </w:rPr>
              <w:t>*</w:t>
            </w:r>
          </w:p>
        </w:tc>
        <w:tc>
          <w:tcPr>
            <w:tcW w:w="1519" w:type="pct"/>
            <w:tcBorders>
              <w:top w:val="single" w:sz="6" w:space="0" w:color="000000"/>
            </w:tcBorders>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nb</w:t>
            </w:r>
          </w:p>
        </w:tc>
        <w:tc>
          <w:tcPr>
            <w:tcW w:w="1889" w:type="pct"/>
            <w:tcBorders>
              <w:top w:val="single" w:sz="6" w:space="0" w:color="000000"/>
            </w:tcBorders>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nb</w:t>
            </w:r>
          </w:p>
        </w:tc>
      </w:tr>
      <w:tr w:rsidR="00F77CD3" w:rsidRPr="00921150" w:rsidTr="00921150">
        <w:trPr>
          <w:trHeight w:val="300"/>
        </w:trPr>
        <w:tc>
          <w:tcPr>
            <w:tcW w:w="573" w:type="pct"/>
            <w:tcBorders>
              <w:right w:val="single" w:sz="6" w:space="0" w:color="000000"/>
            </w:tcBorders>
            <w:shd w:val="clear" w:color="auto" w:fill="auto"/>
            <w:noWrap/>
            <w:vAlign w:val="bottom"/>
            <w:hideMark/>
          </w:tcPr>
          <w:p w:rsidR="00F77CD3" w:rsidRPr="00921150" w:rsidRDefault="00F77CD3" w:rsidP="00F77CD3">
            <w:pPr>
              <w:spacing w:after="0" w:line="240" w:lineRule="auto"/>
              <w:rPr>
                <w:rFonts w:ascii="Calibri" w:eastAsia="Times New Roman" w:hAnsi="Calibri" w:cs="Times New Roman"/>
                <w:lang w:eastAsia="nl-NL"/>
              </w:rPr>
            </w:pPr>
            <w:r w:rsidRPr="00921150">
              <w:rPr>
                <w:rFonts w:ascii="Calibri" w:eastAsia="Times New Roman" w:hAnsi="Calibri" w:cs="Times New Roman"/>
                <w:lang w:eastAsia="nl-NL"/>
              </w:rPr>
              <w:t>K</w:t>
            </w:r>
          </w:p>
        </w:tc>
        <w:tc>
          <w:tcPr>
            <w:tcW w:w="1019" w:type="pct"/>
            <w:tcBorders>
              <w:left w:val="single" w:sz="6" w:space="0" w:color="000000"/>
            </w:tcBorders>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1</w:t>
            </w:r>
            <w:r w:rsidR="00094ED8" w:rsidRPr="00921150">
              <w:rPr>
                <w:rFonts w:ascii="Calibri" w:eastAsia="Times New Roman" w:hAnsi="Calibri" w:cs="Times New Roman"/>
                <w:lang w:eastAsia="nl-NL"/>
              </w:rPr>
              <w:t>.</w:t>
            </w:r>
            <w:r w:rsidRPr="00921150">
              <w:rPr>
                <w:rFonts w:ascii="Calibri" w:eastAsia="Times New Roman" w:hAnsi="Calibri" w:cs="Times New Roman"/>
                <w:lang w:eastAsia="nl-NL"/>
              </w:rPr>
              <w:t>000</w:t>
            </w:r>
          </w:p>
        </w:tc>
        <w:tc>
          <w:tcPr>
            <w:tcW w:w="1519" w:type="pct"/>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300-600</w:t>
            </w:r>
          </w:p>
        </w:tc>
        <w:tc>
          <w:tcPr>
            <w:tcW w:w="1889" w:type="pct"/>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1</w:t>
            </w:r>
            <w:r w:rsidR="00094ED8" w:rsidRPr="00921150">
              <w:rPr>
                <w:rFonts w:ascii="Calibri" w:eastAsia="Times New Roman" w:hAnsi="Calibri" w:cs="Times New Roman"/>
                <w:lang w:eastAsia="nl-NL"/>
              </w:rPr>
              <w:t>.</w:t>
            </w:r>
            <w:r w:rsidRPr="00921150">
              <w:rPr>
                <w:rFonts w:ascii="Calibri" w:eastAsia="Times New Roman" w:hAnsi="Calibri" w:cs="Times New Roman"/>
                <w:lang w:eastAsia="nl-NL"/>
              </w:rPr>
              <w:t>000-6</w:t>
            </w:r>
            <w:r w:rsidR="00094ED8" w:rsidRPr="00921150">
              <w:rPr>
                <w:rFonts w:ascii="Calibri" w:eastAsia="Times New Roman" w:hAnsi="Calibri" w:cs="Times New Roman"/>
                <w:lang w:eastAsia="nl-NL"/>
              </w:rPr>
              <w:t>.</w:t>
            </w:r>
            <w:r w:rsidRPr="00921150">
              <w:rPr>
                <w:rFonts w:ascii="Calibri" w:eastAsia="Times New Roman" w:hAnsi="Calibri" w:cs="Times New Roman"/>
                <w:lang w:eastAsia="nl-NL"/>
              </w:rPr>
              <w:t>000</w:t>
            </w:r>
          </w:p>
        </w:tc>
      </w:tr>
      <w:tr w:rsidR="00F77CD3" w:rsidRPr="00921150" w:rsidTr="00921150">
        <w:trPr>
          <w:trHeight w:val="300"/>
        </w:trPr>
        <w:tc>
          <w:tcPr>
            <w:tcW w:w="573" w:type="pct"/>
            <w:tcBorders>
              <w:right w:val="single" w:sz="6" w:space="0" w:color="000000"/>
            </w:tcBorders>
            <w:shd w:val="clear" w:color="auto" w:fill="auto"/>
            <w:noWrap/>
            <w:vAlign w:val="bottom"/>
            <w:hideMark/>
          </w:tcPr>
          <w:p w:rsidR="00F77CD3" w:rsidRPr="00921150" w:rsidRDefault="00F77CD3" w:rsidP="00F77CD3">
            <w:pPr>
              <w:spacing w:after="0" w:line="240" w:lineRule="auto"/>
              <w:rPr>
                <w:rFonts w:ascii="Calibri" w:eastAsia="Times New Roman" w:hAnsi="Calibri" w:cs="Times New Roman"/>
                <w:lang w:eastAsia="nl-NL"/>
              </w:rPr>
            </w:pPr>
            <w:r w:rsidRPr="00921150">
              <w:rPr>
                <w:rFonts w:ascii="Calibri" w:eastAsia="Times New Roman" w:hAnsi="Calibri" w:cs="Times New Roman"/>
                <w:lang w:eastAsia="nl-NL"/>
              </w:rPr>
              <w:t>Na</w:t>
            </w:r>
          </w:p>
        </w:tc>
        <w:tc>
          <w:tcPr>
            <w:tcW w:w="1019" w:type="pct"/>
            <w:tcBorders>
              <w:left w:val="single" w:sz="6" w:space="0" w:color="000000"/>
            </w:tcBorders>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nb</w:t>
            </w:r>
          </w:p>
        </w:tc>
        <w:tc>
          <w:tcPr>
            <w:tcW w:w="1519" w:type="pct"/>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nb</w:t>
            </w:r>
          </w:p>
        </w:tc>
        <w:tc>
          <w:tcPr>
            <w:tcW w:w="1889" w:type="pct"/>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20-3</w:t>
            </w:r>
            <w:r w:rsidR="00094ED8" w:rsidRPr="00921150">
              <w:rPr>
                <w:rFonts w:ascii="Calibri" w:eastAsia="Times New Roman" w:hAnsi="Calibri" w:cs="Times New Roman"/>
                <w:lang w:eastAsia="nl-NL"/>
              </w:rPr>
              <w:t>.</w:t>
            </w:r>
            <w:r w:rsidRPr="00921150">
              <w:rPr>
                <w:rFonts w:ascii="Calibri" w:eastAsia="Times New Roman" w:hAnsi="Calibri" w:cs="Times New Roman"/>
                <w:lang w:eastAsia="nl-NL"/>
              </w:rPr>
              <w:t>700</w:t>
            </w:r>
          </w:p>
        </w:tc>
      </w:tr>
      <w:tr w:rsidR="00F77CD3" w:rsidRPr="00921150" w:rsidTr="00921150">
        <w:trPr>
          <w:trHeight w:val="300"/>
        </w:trPr>
        <w:tc>
          <w:tcPr>
            <w:tcW w:w="573" w:type="pct"/>
            <w:tcBorders>
              <w:right w:val="single" w:sz="6" w:space="0" w:color="000000"/>
            </w:tcBorders>
            <w:shd w:val="clear" w:color="auto" w:fill="auto"/>
            <w:noWrap/>
            <w:vAlign w:val="bottom"/>
            <w:hideMark/>
          </w:tcPr>
          <w:p w:rsidR="00F77CD3" w:rsidRPr="00921150" w:rsidRDefault="00F77CD3" w:rsidP="00F77CD3">
            <w:pPr>
              <w:spacing w:after="0" w:line="240" w:lineRule="auto"/>
              <w:rPr>
                <w:rFonts w:ascii="Calibri" w:eastAsia="Times New Roman" w:hAnsi="Calibri" w:cs="Times New Roman"/>
                <w:lang w:eastAsia="nl-NL"/>
              </w:rPr>
            </w:pPr>
            <w:r w:rsidRPr="00921150">
              <w:rPr>
                <w:rFonts w:ascii="Calibri" w:eastAsia="Times New Roman" w:hAnsi="Calibri" w:cs="Times New Roman"/>
                <w:lang w:eastAsia="nl-NL"/>
              </w:rPr>
              <w:t>Mg</w:t>
            </w:r>
          </w:p>
        </w:tc>
        <w:tc>
          <w:tcPr>
            <w:tcW w:w="1019" w:type="pct"/>
            <w:tcBorders>
              <w:left w:val="single" w:sz="6" w:space="0" w:color="000000"/>
            </w:tcBorders>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nb</w:t>
            </w:r>
          </w:p>
        </w:tc>
        <w:tc>
          <w:tcPr>
            <w:tcW w:w="1519" w:type="pct"/>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25-50</w:t>
            </w:r>
          </w:p>
        </w:tc>
        <w:tc>
          <w:tcPr>
            <w:tcW w:w="1889" w:type="pct"/>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100-2</w:t>
            </w:r>
            <w:r w:rsidR="00094ED8" w:rsidRPr="00921150">
              <w:rPr>
                <w:rFonts w:ascii="Calibri" w:eastAsia="Times New Roman" w:hAnsi="Calibri" w:cs="Times New Roman"/>
                <w:lang w:eastAsia="nl-NL"/>
              </w:rPr>
              <w:t>.</w:t>
            </w:r>
            <w:r w:rsidRPr="00921150">
              <w:rPr>
                <w:rFonts w:ascii="Calibri" w:eastAsia="Times New Roman" w:hAnsi="Calibri" w:cs="Times New Roman"/>
                <w:lang w:eastAsia="nl-NL"/>
              </w:rPr>
              <w:t>500</w:t>
            </w:r>
          </w:p>
        </w:tc>
      </w:tr>
      <w:tr w:rsidR="00F77CD3" w:rsidRPr="00921150" w:rsidTr="00921150">
        <w:trPr>
          <w:trHeight w:val="300"/>
        </w:trPr>
        <w:tc>
          <w:tcPr>
            <w:tcW w:w="573" w:type="pct"/>
            <w:tcBorders>
              <w:right w:val="single" w:sz="6" w:space="0" w:color="000000"/>
            </w:tcBorders>
            <w:shd w:val="clear" w:color="auto" w:fill="auto"/>
            <w:noWrap/>
            <w:vAlign w:val="bottom"/>
            <w:hideMark/>
          </w:tcPr>
          <w:p w:rsidR="00F77CD3" w:rsidRPr="00921150" w:rsidRDefault="00F77CD3" w:rsidP="00F77CD3">
            <w:pPr>
              <w:spacing w:after="0" w:line="240" w:lineRule="auto"/>
              <w:rPr>
                <w:rFonts w:ascii="Calibri" w:eastAsia="Times New Roman" w:hAnsi="Calibri" w:cs="Times New Roman"/>
                <w:lang w:eastAsia="nl-NL"/>
              </w:rPr>
            </w:pPr>
            <w:r w:rsidRPr="00921150">
              <w:rPr>
                <w:rFonts w:ascii="Calibri" w:eastAsia="Times New Roman" w:hAnsi="Calibri" w:cs="Times New Roman"/>
                <w:lang w:eastAsia="nl-NL"/>
              </w:rPr>
              <w:t>B</w:t>
            </w:r>
          </w:p>
        </w:tc>
        <w:tc>
          <w:tcPr>
            <w:tcW w:w="1019" w:type="pct"/>
            <w:tcBorders>
              <w:left w:val="single" w:sz="6" w:space="0" w:color="000000"/>
            </w:tcBorders>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2,1</w:t>
            </w:r>
          </w:p>
        </w:tc>
        <w:tc>
          <w:tcPr>
            <w:tcW w:w="1519" w:type="pct"/>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1,2-4,0</w:t>
            </w:r>
          </w:p>
        </w:tc>
        <w:tc>
          <w:tcPr>
            <w:tcW w:w="1889" w:type="pct"/>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3,5-20</w:t>
            </w:r>
          </w:p>
        </w:tc>
      </w:tr>
      <w:tr w:rsidR="00F77CD3" w:rsidRPr="00921150" w:rsidTr="00921150">
        <w:trPr>
          <w:trHeight w:val="300"/>
        </w:trPr>
        <w:tc>
          <w:tcPr>
            <w:tcW w:w="573" w:type="pct"/>
            <w:tcBorders>
              <w:right w:val="single" w:sz="6" w:space="0" w:color="000000"/>
            </w:tcBorders>
            <w:shd w:val="clear" w:color="auto" w:fill="auto"/>
            <w:noWrap/>
            <w:vAlign w:val="bottom"/>
            <w:hideMark/>
          </w:tcPr>
          <w:p w:rsidR="00F77CD3" w:rsidRPr="00921150" w:rsidRDefault="00F77CD3" w:rsidP="00F77CD3">
            <w:pPr>
              <w:spacing w:after="0" w:line="240" w:lineRule="auto"/>
              <w:rPr>
                <w:rFonts w:ascii="Calibri" w:eastAsia="Times New Roman" w:hAnsi="Calibri" w:cs="Times New Roman"/>
                <w:lang w:eastAsia="nl-NL"/>
              </w:rPr>
            </w:pPr>
            <w:r w:rsidRPr="00921150">
              <w:rPr>
                <w:rFonts w:ascii="Calibri" w:eastAsia="Times New Roman" w:hAnsi="Calibri" w:cs="Times New Roman"/>
                <w:lang w:eastAsia="nl-NL"/>
              </w:rPr>
              <w:t>P</w:t>
            </w:r>
          </w:p>
        </w:tc>
        <w:tc>
          <w:tcPr>
            <w:tcW w:w="1019" w:type="pct"/>
            <w:tcBorders>
              <w:left w:val="single" w:sz="6" w:space="0" w:color="000000"/>
            </w:tcBorders>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nb</w:t>
            </w:r>
          </w:p>
        </w:tc>
        <w:tc>
          <w:tcPr>
            <w:tcW w:w="1519" w:type="pct"/>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25-70</w:t>
            </w:r>
          </w:p>
        </w:tc>
        <w:tc>
          <w:tcPr>
            <w:tcW w:w="1889" w:type="pct"/>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100-800</w:t>
            </w:r>
          </w:p>
        </w:tc>
      </w:tr>
      <w:tr w:rsidR="00F77CD3" w:rsidRPr="00921150" w:rsidTr="00921150">
        <w:trPr>
          <w:trHeight w:val="300"/>
        </w:trPr>
        <w:tc>
          <w:tcPr>
            <w:tcW w:w="573" w:type="pct"/>
            <w:tcBorders>
              <w:right w:val="single" w:sz="6" w:space="0" w:color="000000"/>
            </w:tcBorders>
            <w:shd w:val="clear" w:color="auto" w:fill="auto"/>
            <w:noWrap/>
            <w:vAlign w:val="bottom"/>
            <w:hideMark/>
          </w:tcPr>
          <w:p w:rsidR="00F77CD3" w:rsidRPr="00921150" w:rsidRDefault="00F77CD3" w:rsidP="00F77CD3">
            <w:pPr>
              <w:spacing w:after="0" w:line="240" w:lineRule="auto"/>
              <w:rPr>
                <w:rFonts w:ascii="Calibri" w:eastAsia="Times New Roman" w:hAnsi="Calibri" w:cs="Times New Roman"/>
                <w:lang w:eastAsia="nl-NL"/>
              </w:rPr>
            </w:pPr>
            <w:r w:rsidRPr="00921150">
              <w:rPr>
                <w:rFonts w:ascii="Calibri" w:eastAsia="Times New Roman" w:hAnsi="Calibri" w:cs="Times New Roman"/>
                <w:lang w:eastAsia="nl-NL"/>
              </w:rPr>
              <w:t>Ca</w:t>
            </w:r>
          </w:p>
        </w:tc>
        <w:tc>
          <w:tcPr>
            <w:tcW w:w="1019" w:type="pct"/>
            <w:tcBorders>
              <w:left w:val="single" w:sz="6" w:space="0" w:color="000000"/>
            </w:tcBorders>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500</w:t>
            </w:r>
          </w:p>
        </w:tc>
        <w:tc>
          <w:tcPr>
            <w:tcW w:w="1519" w:type="pct"/>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100-400</w:t>
            </w:r>
          </w:p>
        </w:tc>
        <w:tc>
          <w:tcPr>
            <w:tcW w:w="1889" w:type="pct"/>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400-1</w:t>
            </w:r>
            <w:r w:rsidR="00094ED8" w:rsidRPr="00921150">
              <w:rPr>
                <w:rFonts w:ascii="Calibri" w:eastAsia="Times New Roman" w:hAnsi="Calibri" w:cs="Times New Roman"/>
                <w:lang w:eastAsia="nl-NL"/>
              </w:rPr>
              <w:t>.</w:t>
            </w:r>
            <w:r w:rsidRPr="00921150">
              <w:rPr>
                <w:rFonts w:ascii="Calibri" w:eastAsia="Times New Roman" w:hAnsi="Calibri" w:cs="Times New Roman"/>
                <w:lang w:eastAsia="nl-NL"/>
              </w:rPr>
              <w:t>500</w:t>
            </w:r>
          </w:p>
        </w:tc>
      </w:tr>
      <w:tr w:rsidR="00F77CD3" w:rsidRPr="00921150" w:rsidTr="00921150">
        <w:trPr>
          <w:trHeight w:val="300"/>
        </w:trPr>
        <w:tc>
          <w:tcPr>
            <w:tcW w:w="573" w:type="pct"/>
            <w:tcBorders>
              <w:right w:val="single" w:sz="6" w:space="0" w:color="000000"/>
            </w:tcBorders>
            <w:shd w:val="clear" w:color="auto" w:fill="auto"/>
            <w:noWrap/>
            <w:vAlign w:val="bottom"/>
            <w:hideMark/>
          </w:tcPr>
          <w:p w:rsidR="00F77CD3" w:rsidRPr="00921150" w:rsidRDefault="00F77CD3" w:rsidP="00F77CD3">
            <w:pPr>
              <w:spacing w:after="0" w:line="240" w:lineRule="auto"/>
              <w:rPr>
                <w:rFonts w:ascii="Calibri" w:eastAsia="Times New Roman" w:hAnsi="Calibri" w:cs="Times New Roman"/>
                <w:lang w:eastAsia="nl-NL"/>
              </w:rPr>
            </w:pPr>
            <w:r w:rsidRPr="00921150">
              <w:rPr>
                <w:rFonts w:ascii="Calibri" w:eastAsia="Times New Roman" w:hAnsi="Calibri" w:cs="Times New Roman"/>
                <w:lang w:eastAsia="nl-NL"/>
              </w:rPr>
              <w:t>Fe</w:t>
            </w:r>
          </w:p>
        </w:tc>
        <w:tc>
          <w:tcPr>
            <w:tcW w:w="1019" w:type="pct"/>
            <w:tcBorders>
              <w:left w:val="single" w:sz="6" w:space="0" w:color="000000"/>
            </w:tcBorders>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5,5</w:t>
            </w:r>
          </w:p>
        </w:tc>
        <w:tc>
          <w:tcPr>
            <w:tcW w:w="1519" w:type="pct"/>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2-5,5</w:t>
            </w:r>
          </w:p>
        </w:tc>
        <w:tc>
          <w:tcPr>
            <w:tcW w:w="1889" w:type="pct"/>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6-14</w:t>
            </w:r>
          </w:p>
        </w:tc>
      </w:tr>
      <w:tr w:rsidR="00F77CD3" w:rsidRPr="00921150" w:rsidTr="00921150">
        <w:trPr>
          <w:trHeight w:val="300"/>
        </w:trPr>
        <w:tc>
          <w:tcPr>
            <w:tcW w:w="573" w:type="pct"/>
            <w:tcBorders>
              <w:right w:val="single" w:sz="6" w:space="0" w:color="000000"/>
            </w:tcBorders>
            <w:shd w:val="clear" w:color="auto" w:fill="auto"/>
            <w:noWrap/>
            <w:vAlign w:val="bottom"/>
            <w:hideMark/>
          </w:tcPr>
          <w:p w:rsidR="00F77CD3" w:rsidRPr="00921150" w:rsidRDefault="00F77CD3" w:rsidP="00F77CD3">
            <w:pPr>
              <w:spacing w:after="0" w:line="240" w:lineRule="auto"/>
              <w:rPr>
                <w:rFonts w:ascii="Calibri" w:eastAsia="Times New Roman" w:hAnsi="Calibri" w:cs="Times New Roman"/>
                <w:lang w:eastAsia="nl-NL"/>
              </w:rPr>
            </w:pPr>
            <w:r w:rsidRPr="00921150">
              <w:rPr>
                <w:rFonts w:ascii="Calibri" w:eastAsia="Times New Roman" w:hAnsi="Calibri" w:cs="Times New Roman"/>
                <w:lang w:eastAsia="nl-NL"/>
              </w:rPr>
              <w:t>Mn</w:t>
            </w:r>
          </w:p>
        </w:tc>
        <w:tc>
          <w:tcPr>
            <w:tcW w:w="1019" w:type="pct"/>
            <w:tcBorders>
              <w:left w:val="single" w:sz="6" w:space="0" w:color="000000"/>
            </w:tcBorders>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1,0</w:t>
            </w:r>
          </w:p>
        </w:tc>
        <w:tc>
          <w:tcPr>
            <w:tcW w:w="1519" w:type="pct"/>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0,4-2</w:t>
            </w:r>
          </w:p>
        </w:tc>
        <w:tc>
          <w:tcPr>
            <w:tcW w:w="1889" w:type="pct"/>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2,5-36</w:t>
            </w:r>
          </w:p>
        </w:tc>
      </w:tr>
      <w:tr w:rsidR="00F77CD3" w:rsidRPr="00921150" w:rsidTr="00921150">
        <w:trPr>
          <w:trHeight w:val="300"/>
        </w:trPr>
        <w:tc>
          <w:tcPr>
            <w:tcW w:w="573" w:type="pct"/>
            <w:tcBorders>
              <w:right w:val="single" w:sz="6" w:space="0" w:color="000000"/>
            </w:tcBorders>
            <w:shd w:val="clear" w:color="auto" w:fill="auto"/>
            <w:noWrap/>
            <w:vAlign w:val="bottom"/>
            <w:hideMark/>
          </w:tcPr>
          <w:p w:rsidR="00F77CD3" w:rsidRPr="00921150" w:rsidRDefault="00F77CD3" w:rsidP="00F77CD3">
            <w:pPr>
              <w:spacing w:after="0" w:line="240" w:lineRule="auto"/>
              <w:rPr>
                <w:rFonts w:ascii="Calibri" w:eastAsia="Times New Roman" w:hAnsi="Calibri" w:cs="Times New Roman"/>
                <w:lang w:eastAsia="nl-NL"/>
              </w:rPr>
            </w:pPr>
            <w:r w:rsidRPr="00921150">
              <w:rPr>
                <w:rFonts w:ascii="Calibri" w:eastAsia="Times New Roman" w:hAnsi="Calibri" w:cs="Times New Roman"/>
                <w:lang w:eastAsia="nl-NL"/>
              </w:rPr>
              <w:t>Zn</w:t>
            </w:r>
          </w:p>
        </w:tc>
        <w:tc>
          <w:tcPr>
            <w:tcW w:w="1019" w:type="pct"/>
            <w:tcBorders>
              <w:left w:val="single" w:sz="6" w:space="0" w:color="000000"/>
            </w:tcBorders>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0,9</w:t>
            </w:r>
          </w:p>
        </w:tc>
        <w:tc>
          <w:tcPr>
            <w:tcW w:w="1519" w:type="pct"/>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0,2-1,3</w:t>
            </w:r>
          </w:p>
        </w:tc>
        <w:tc>
          <w:tcPr>
            <w:tcW w:w="1889" w:type="pct"/>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1-8</w:t>
            </w:r>
          </w:p>
        </w:tc>
      </w:tr>
      <w:tr w:rsidR="00F77CD3" w:rsidRPr="00921150" w:rsidTr="00921150">
        <w:trPr>
          <w:trHeight w:val="300"/>
        </w:trPr>
        <w:tc>
          <w:tcPr>
            <w:tcW w:w="573" w:type="pct"/>
            <w:tcBorders>
              <w:right w:val="single" w:sz="6" w:space="0" w:color="000000"/>
            </w:tcBorders>
            <w:shd w:val="clear" w:color="auto" w:fill="auto"/>
            <w:noWrap/>
            <w:vAlign w:val="bottom"/>
            <w:hideMark/>
          </w:tcPr>
          <w:p w:rsidR="00F77CD3" w:rsidRPr="00921150" w:rsidRDefault="00F77CD3" w:rsidP="00F77CD3">
            <w:pPr>
              <w:spacing w:after="0" w:line="240" w:lineRule="auto"/>
              <w:rPr>
                <w:rFonts w:ascii="Calibri" w:eastAsia="Times New Roman" w:hAnsi="Calibri" w:cs="Times New Roman"/>
                <w:lang w:eastAsia="nl-NL"/>
              </w:rPr>
            </w:pPr>
            <w:r w:rsidRPr="00921150">
              <w:rPr>
                <w:rFonts w:ascii="Calibri" w:eastAsia="Times New Roman" w:hAnsi="Calibri" w:cs="Times New Roman"/>
                <w:lang w:eastAsia="nl-NL"/>
              </w:rPr>
              <w:t>Cu</w:t>
            </w:r>
          </w:p>
        </w:tc>
        <w:tc>
          <w:tcPr>
            <w:tcW w:w="1019" w:type="pct"/>
            <w:tcBorders>
              <w:left w:val="single" w:sz="6" w:space="0" w:color="000000"/>
            </w:tcBorders>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nb</w:t>
            </w:r>
          </w:p>
        </w:tc>
        <w:tc>
          <w:tcPr>
            <w:tcW w:w="1519" w:type="pct"/>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&lt;0,2</w:t>
            </w:r>
          </w:p>
        </w:tc>
        <w:tc>
          <w:tcPr>
            <w:tcW w:w="1889" w:type="pct"/>
            <w:shd w:val="clear" w:color="auto" w:fill="auto"/>
            <w:noWrap/>
            <w:vAlign w:val="bottom"/>
            <w:hideMark/>
          </w:tcPr>
          <w:p w:rsidR="00F77CD3" w:rsidRPr="00921150" w:rsidRDefault="00F77CD3" w:rsidP="00F77CD3">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&lt;0,2</w:t>
            </w:r>
          </w:p>
        </w:tc>
      </w:tr>
    </w:tbl>
    <w:p w:rsidR="00D56B14" w:rsidRPr="00FA64FD" w:rsidRDefault="00F77CD3" w:rsidP="00717D5C">
      <w:pPr>
        <w:spacing w:after="0"/>
        <w:ind w:left="1418" w:hanging="1418"/>
      </w:pPr>
      <w:r w:rsidRPr="00FA64FD">
        <w:rPr>
          <w:vertAlign w:val="superscript"/>
        </w:rPr>
        <w:t>*</w:t>
      </w:r>
      <w:r w:rsidRPr="00FA64FD">
        <w:t xml:space="preserve">  nb= niet bekend</w:t>
      </w:r>
      <w:r w:rsidR="00094ED8">
        <w:t>.</w:t>
      </w:r>
    </w:p>
    <w:p w:rsidR="00717D5C" w:rsidRPr="00717D5C" w:rsidRDefault="00717D5C" w:rsidP="00D56B14">
      <w:pPr>
        <w:ind w:left="1418" w:hanging="1418"/>
      </w:pPr>
      <w:r w:rsidRPr="00717D5C">
        <w:rPr>
          <w:vertAlign w:val="superscript"/>
        </w:rPr>
        <w:t>**</w:t>
      </w:r>
      <w:r>
        <w:t xml:space="preserve"> Bij gehalten boven de aangegeven maximale waarde kan fytotoxiciteit optreden.</w:t>
      </w:r>
    </w:p>
    <w:p w:rsidR="00F77CD3" w:rsidRPr="00CC5D7B" w:rsidRDefault="000F2F37" w:rsidP="005134FF">
      <w:pPr>
        <w:ind w:left="142" w:hanging="142"/>
        <w:rPr>
          <w:sz w:val="18"/>
          <w:szCs w:val="18"/>
          <w:vertAlign w:val="superscript"/>
        </w:rPr>
      </w:pPr>
      <w:r w:rsidRPr="000F2F37">
        <w:rPr>
          <w:sz w:val="18"/>
          <w:szCs w:val="18"/>
          <w:vertAlign w:val="superscript"/>
          <w:lang w:val="en-GB"/>
        </w:rPr>
        <w:t>1</w:t>
      </w:r>
      <w:r w:rsidRPr="000F2F37">
        <w:rPr>
          <w:sz w:val="18"/>
          <w:szCs w:val="18"/>
          <w:lang w:val="en-GB"/>
        </w:rPr>
        <w:t xml:space="preserve"> </w:t>
      </w:r>
      <w:r w:rsidR="005134FF">
        <w:rPr>
          <w:sz w:val="18"/>
          <w:szCs w:val="18"/>
          <w:lang w:val="en-GB"/>
        </w:rPr>
        <w:tab/>
      </w:r>
      <w:r w:rsidRPr="000F2F37">
        <w:rPr>
          <w:sz w:val="18"/>
          <w:szCs w:val="18"/>
          <w:lang w:val="en-GB"/>
        </w:rPr>
        <w:t xml:space="preserve">Albert Ulrich and F. Jackson Hills. Plant Analysis as an Aid in Fertilizing Sugarbeet. </w:t>
      </w:r>
      <w:r w:rsidRPr="00CC5D7B">
        <w:rPr>
          <w:sz w:val="18"/>
          <w:szCs w:val="18"/>
        </w:rPr>
        <w:t>SSSA Book Series: 3. Soil Testing and Plant Analysis. Chapter 16</w:t>
      </w:r>
      <w:r w:rsidR="001C6F3B">
        <w:rPr>
          <w:sz w:val="18"/>
          <w:szCs w:val="18"/>
        </w:rPr>
        <w:t xml:space="preserve"> (1990)</w:t>
      </w:r>
      <w:r w:rsidRPr="00CC5D7B">
        <w:rPr>
          <w:sz w:val="18"/>
          <w:szCs w:val="18"/>
        </w:rPr>
        <w:t>.</w:t>
      </w:r>
      <w:bookmarkStart w:id="0" w:name="_GoBack"/>
      <w:bookmarkEnd w:id="0"/>
      <w:r w:rsidR="00F77CD3" w:rsidRPr="00CC5D7B">
        <w:rPr>
          <w:sz w:val="18"/>
          <w:szCs w:val="18"/>
          <w:vertAlign w:val="superscript"/>
        </w:rPr>
        <w:br w:type="page"/>
      </w:r>
    </w:p>
    <w:p w:rsidR="00F77CD3" w:rsidRPr="00CC5D7B" w:rsidRDefault="00F77CD3" w:rsidP="00D56B14">
      <w:pPr>
        <w:ind w:left="1418" w:hanging="1418"/>
        <w:rPr>
          <w:b/>
        </w:rPr>
      </w:pPr>
      <w:r w:rsidRPr="00CC5D7B">
        <w:rPr>
          <w:b/>
        </w:rPr>
        <w:lastRenderedPageBreak/>
        <w:t>Resultaten bladanalyses</w:t>
      </w:r>
    </w:p>
    <w:p w:rsidR="00F77CD3" w:rsidRDefault="00F77CD3" w:rsidP="00BF5799">
      <w:r>
        <w:t>In tabel 2 staan de gemiddelde nutriëntengehalten van de jongst volgroeide bietenbladeren van verschillende bietenpercelen</w:t>
      </w:r>
      <w:r w:rsidR="00BF5799">
        <w:t>, op verschillende tijdstippen binnen het groeiseizoen.</w:t>
      </w:r>
    </w:p>
    <w:p w:rsidR="00BF5799" w:rsidRDefault="00BF5799" w:rsidP="00BF5799">
      <w:pPr>
        <w:tabs>
          <w:tab w:val="left" w:pos="142"/>
        </w:tabs>
        <w:ind w:left="1418" w:hanging="1418"/>
      </w:pPr>
      <w:r w:rsidRPr="00BF5799">
        <w:rPr>
          <w:b/>
        </w:rPr>
        <w:t>Tabel 2.</w:t>
      </w:r>
      <w:r>
        <w:tab/>
        <w:t>De gemiddelde nutriëntengehalten van de jongst volgroeide bietenbladeren</w:t>
      </w:r>
      <w:r w:rsidR="00B64416">
        <w:t xml:space="preserve"> van verschillende bietenpercelen</w:t>
      </w:r>
      <w:r w:rsidR="00FA64FD">
        <w:t xml:space="preserve"> o</w:t>
      </w:r>
      <w:r>
        <w:t>p verschillende tijdstippen in het groeiseizoen.</w:t>
      </w:r>
      <w:r w:rsidR="00277A98">
        <w:t xml:space="preserve"> Tussen h</w:t>
      </w:r>
      <w:r w:rsidR="00AD67A6">
        <w:t xml:space="preserve">aakjes </w:t>
      </w:r>
      <w:r w:rsidR="00277A98">
        <w:t>staan de uiterste waarden.</w:t>
      </w:r>
      <w:r w:rsidR="00717D5C">
        <w:t xml:space="preserve"> </w:t>
      </w:r>
    </w:p>
    <w:tbl>
      <w:tblPr>
        <w:tblW w:w="4954" w:type="pct"/>
        <w:tblBorders>
          <w:top w:val="single" w:sz="12" w:space="0" w:color="000000"/>
          <w:left w:val="nil"/>
          <w:bottom w:val="single" w:sz="12" w:space="0" w:color="000000"/>
          <w:right w:val="nil"/>
          <w:insideH w:val="nil"/>
          <w:insideV w:val="nil"/>
        </w:tblBorders>
        <w:tblCellMar>
          <w:left w:w="70" w:type="dxa"/>
          <w:right w:w="70" w:type="dxa"/>
        </w:tblCellMar>
        <w:tblLook w:val="00A0" w:firstRow="1" w:lastRow="0" w:firstColumn="1" w:lastColumn="0" w:noHBand="0" w:noVBand="0"/>
      </w:tblPr>
      <w:tblGrid>
        <w:gridCol w:w="968"/>
        <w:gridCol w:w="2006"/>
        <w:gridCol w:w="2005"/>
        <w:gridCol w:w="2005"/>
        <w:gridCol w:w="2005"/>
      </w:tblGrid>
      <w:tr w:rsidR="00BF5799" w:rsidRPr="00921150" w:rsidTr="00921150">
        <w:trPr>
          <w:trHeight w:val="300"/>
        </w:trPr>
        <w:tc>
          <w:tcPr>
            <w:tcW w:w="538" w:type="pct"/>
            <w:tcBorders>
              <w:top w:val="single" w:sz="12" w:space="0" w:color="000000"/>
              <w:bottom w:val="nil"/>
              <w:right w:val="single" w:sz="6" w:space="0" w:color="000000"/>
            </w:tcBorders>
            <w:shd w:val="clear" w:color="auto" w:fill="auto"/>
            <w:noWrap/>
            <w:vAlign w:val="bottom"/>
            <w:hideMark/>
          </w:tcPr>
          <w:p w:rsidR="00BF5799" w:rsidRPr="00921150" w:rsidRDefault="00BF5799" w:rsidP="00921150">
            <w:pPr>
              <w:spacing w:after="0" w:line="240" w:lineRule="auto"/>
              <w:rPr>
                <w:rFonts w:ascii="Calibri" w:eastAsia="Times New Roman" w:hAnsi="Calibri" w:cs="Times New Roman"/>
                <w:i/>
                <w:iCs/>
                <w:lang w:eastAsia="nl-NL"/>
              </w:rPr>
            </w:pPr>
            <w:r w:rsidRPr="00921150">
              <w:rPr>
                <w:rFonts w:ascii="Calibri" w:eastAsia="Times New Roman" w:hAnsi="Calibri" w:cs="Times New Roman"/>
                <w:i/>
                <w:iCs/>
                <w:lang w:eastAsia="nl-NL"/>
              </w:rPr>
              <w:t>nutriënt</w:t>
            </w:r>
          </w:p>
        </w:tc>
        <w:tc>
          <w:tcPr>
            <w:tcW w:w="1115" w:type="pct"/>
            <w:tcBorders>
              <w:top w:val="single" w:sz="12" w:space="0" w:color="000000"/>
              <w:left w:val="single" w:sz="6" w:space="0" w:color="000000"/>
              <w:bottom w:val="nil"/>
            </w:tcBorders>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i/>
                <w:iCs/>
                <w:lang w:eastAsia="nl-NL"/>
              </w:rPr>
            </w:pPr>
            <w:r w:rsidRPr="00921150">
              <w:rPr>
                <w:rFonts w:ascii="Calibri" w:eastAsia="Times New Roman" w:hAnsi="Calibri" w:cs="Times New Roman"/>
                <w:i/>
                <w:iCs/>
                <w:lang w:eastAsia="nl-NL"/>
              </w:rPr>
              <w:t>4-8 blad</w:t>
            </w:r>
          </w:p>
        </w:tc>
        <w:tc>
          <w:tcPr>
            <w:tcW w:w="1115" w:type="pct"/>
            <w:tcBorders>
              <w:top w:val="single" w:sz="12" w:space="0" w:color="000000"/>
              <w:bottom w:val="nil"/>
            </w:tcBorders>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i/>
                <w:iCs/>
                <w:lang w:eastAsia="nl-NL"/>
              </w:rPr>
            </w:pPr>
            <w:r w:rsidRPr="00921150">
              <w:rPr>
                <w:rFonts w:ascii="Calibri" w:eastAsia="Times New Roman" w:hAnsi="Calibri" w:cs="Times New Roman"/>
                <w:i/>
                <w:iCs/>
                <w:lang w:eastAsia="nl-NL"/>
              </w:rPr>
              <w:t>10 blad-sluiten</w:t>
            </w:r>
          </w:p>
        </w:tc>
        <w:tc>
          <w:tcPr>
            <w:tcW w:w="1115" w:type="pct"/>
            <w:tcBorders>
              <w:top w:val="single" w:sz="12" w:space="0" w:color="000000"/>
              <w:bottom w:val="nil"/>
            </w:tcBorders>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i/>
                <w:iCs/>
                <w:lang w:eastAsia="nl-NL"/>
              </w:rPr>
            </w:pPr>
            <w:r w:rsidRPr="00921150">
              <w:rPr>
                <w:rFonts w:ascii="Calibri" w:eastAsia="Times New Roman" w:hAnsi="Calibri" w:cs="Times New Roman"/>
                <w:i/>
                <w:iCs/>
                <w:lang w:eastAsia="nl-NL"/>
              </w:rPr>
              <w:t>jul-aug-sep</w:t>
            </w:r>
          </w:p>
        </w:tc>
        <w:tc>
          <w:tcPr>
            <w:tcW w:w="1115" w:type="pct"/>
            <w:tcBorders>
              <w:top w:val="single" w:sz="12" w:space="0" w:color="000000"/>
              <w:bottom w:val="nil"/>
            </w:tcBorders>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i/>
                <w:iCs/>
                <w:lang w:eastAsia="nl-NL"/>
              </w:rPr>
            </w:pPr>
            <w:r w:rsidRPr="00921150">
              <w:rPr>
                <w:rFonts w:ascii="Calibri" w:eastAsia="Times New Roman" w:hAnsi="Calibri" w:cs="Times New Roman"/>
                <w:i/>
                <w:iCs/>
                <w:lang w:eastAsia="nl-NL"/>
              </w:rPr>
              <w:t>oogst</w:t>
            </w:r>
          </w:p>
        </w:tc>
      </w:tr>
      <w:tr w:rsidR="00BF5799" w:rsidRPr="00921150" w:rsidTr="00921150">
        <w:trPr>
          <w:trHeight w:val="300"/>
        </w:trPr>
        <w:tc>
          <w:tcPr>
            <w:tcW w:w="538" w:type="pct"/>
            <w:tcBorders>
              <w:top w:val="nil"/>
              <w:bottom w:val="single" w:sz="4" w:space="0" w:color="auto"/>
              <w:right w:val="single" w:sz="6" w:space="0" w:color="000000"/>
            </w:tcBorders>
            <w:shd w:val="clear" w:color="auto" w:fill="auto"/>
            <w:noWrap/>
            <w:vAlign w:val="bottom"/>
            <w:hideMark/>
          </w:tcPr>
          <w:p w:rsidR="00BF5799" w:rsidRPr="00921150" w:rsidRDefault="00BF5799" w:rsidP="00FA64FD">
            <w:pPr>
              <w:spacing w:after="0" w:line="240" w:lineRule="auto"/>
              <w:jc w:val="center"/>
              <w:rPr>
                <w:rFonts w:ascii="Calibri" w:eastAsia="Times New Roman" w:hAnsi="Calibri" w:cs="Times New Roman"/>
                <w:i/>
                <w:lang w:eastAsia="nl-NL"/>
              </w:rPr>
            </w:pPr>
          </w:p>
        </w:tc>
        <w:tc>
          <w:tcPr>
            <w:tcW w:w="1115" w:type="pct"/>
            <w:tcBorders>
              <w:top w:val="nil"/>
              <w:left w:val="single" w:sz="6" w:space="0" w:color="000000"/>
              <w:bottom w:val="single" w:sz="4" w:space="0" w:color="auto"/>
            </w:tcBorders>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i/>
                <w:lang w:eastAsia="nl-NL"/>
              </w:rPr>
            </w:pPr>
            <w:r w:rsidRPr="00921150">
              <w:rPr>
                <w:rFonts w:ascii="Calibri" w:eastAsia="Times New Roman" w:hAnsi="Calibri" w:cs="Times New Roman"/>
                <w:i/>
                <w:lang w:eastAsia="nl-NL"/>
              </w:rPr>
              <w:t>(n= 19)</w:t>
            </w:r>
          </w:p>
        </w:tc>
        <w:tc>
          <w:tcPr>
            <w:tcW w:w="1115" w:type="pct"/>
            <w:tcBorders>
              <w:top w:val="nil"/>
              <w:bottom w:val="single" w:sz="4" w:space="0" w:color="auto"/>
            </w:tcBorders>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i/>
                <w:lang w:eastAsia="nl-NL"/>
              </w:rPr>
            </w:pPr>
            <w:r w:rsidRPr="00921150">
              <w:rPr>
                <w:rFonts w:ascii="Calibri" w:eastAsia="Times New Roman" w:hAnsi="Calibri" w:cs="Times New Roman"/>
                <w:i/>
                <w:lang w:eastAsia="nl-NL"/>
              </w:rPr>
              <w:t>(n=50)</w:t>
            </w:r>
          </w:p>
        </w:tc>
        <w:tc>
          <w:tcPr>
            <w:tcW w:w="1115" w:type="pct"/>
            <w:tcBorders>
              <w:top w:val="nil"/>
              <w:bottom w:val="single" w:sz="4" w:space="0" w:color="auto"/>
            </w:tcBorders>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i/>
                <w:lang w:eastAsia="nl-NL"/>
              </w:rPr>
            </w:pPr>
            <w:r w:rsidRPr="00921150">
              <w:rPr>
                <w:rFonts w:ascii="Calibri" w:eastAsia="Times New Roman" w:hAnsi="Calibri" w:cs="Times New Roman"/>
                <w:i/>
                <w:lang w:eastAsia="nl-NL"/>
              </w:rPr>
              <w:t>(n= 110)</w:t>
            </w:r>
          </w:p>
        </w:tc>
        <w:tc>
          <w:tcPr>
            <w:tcW w:w="1115" w:type="pct"/>
            <w:tcBorders>
              <w:top w:val="nil"/>
              <w:bottom w:val="single" w:sz="4" w:space="0" w:color="auto"/>
            </w:tcBorders>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i/>
                <w:lang w:eastAsia="nl-NL"/>
              </w:rPr>
            </w:pPr>
            <w:r w:rsidRPr="00921150">
              <w:rPr>
                <w:rFonts w:ascii="Calibri" w:eastAsia="Times New Roman" w:hAnsi="Calibri" w:cs="Times New Roman"/>
                <w:i/>
                <w:lang w:eastAsia="nl-NL"/>
              </w:rPr>
              <w:t>(n=26)</w:t>
            </w:r>
          </w:p>
        </w:tc>
      </w:tr>
      <w:tr w:rsidR="00BF5799" w:rsidRPr="00921150" w:rsidTr="00921150">
        <w:trPr>
          <w:trHeight w:val="300"/>
        </w:trPr>
        <w:tc>
          <w:tcPr>
            <w:tcW w:w="538" w:type="pct"/>
            <w:tcBorders>
              <w:top w:val="single" w:sz="4" w:space="0" w:color="auto"/>
              <w:right w:val="single" w:sz="6" w:space="0" w:color="000000"/>
            </w:tcBorders>
            <w:shd w:val="clear" w:color="auto" w:fill="auto"/>
            <w:noWrap/>
            <w:vAlign w:val="bottom"/>
            <w:hideMark/>
          </w:tcPr>
          <w:p w:rsidR="00BF5799" w:rsidRPr="00921150" w:rsidRDefault="00BF5799" w:rsidP="00921150">
            <w:pPr>
              <w:spacing w:after="0" w:line="240" w:lineRule="auto"/>
              <w:rPr>
                <w:rFonts w:ascii="Calibri" w:eastAsia="Times New Roman" w:hAnsi="Calibri" w:cs="Times New Roman"/>
                <w:lang w:eastAsia="nl-NL"/>
              </w:rPr>
            </w:pPr>
            <w:r w:rsidRPr="00921150">
              <w:rPr>
                <w:rFonts w:ascii="Calibri" w:eastAsia="Times New Roman" w:hAnsi="Calibri" w:cs="Times New Roman"/>
                <w:lang w:eastAsia="nl-NL"/>
              </w:rPr>
              <w:t>N</w:t>
            </w:r>
          </w:p>
        </w:tc>
        <w:tc>
          <w:tcPr>
            <w:tcW w:w="1115" w:type="pct"/>
            <w:tcBorders>
              <w:top w:val="single" w:sz="4" w:space="0" w:color="auto"/>
              <w:left w:val="single" w:sz="6" w:space="0" w:color="000000"/>
            </w:tcBorders>
            <w:shd w:val="clear" w:color="auto" w:fill="auto"/>
            <w:noWrap/>
            <w:vAlign w:val="bottom"/>
            <w:hideMark/>
          </w:tcPr>
          <w:p w:rsidR="00BF5799" w:rsidRPr="00921150" w:rsidRDefault="00BF5799" w:rsidP="00921150">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4</w:t>
            </w:r>
            <w:r w:rsidR="00094ED8" w:rsidRPr="00921150">
              <w:rPr>
                <w:rFonts w:ascii="Calibri" w:eastAsia="Times New Roman" w:hAnsi="Calibri" w:cs="Times New Roman"/>
                <w:lang w:eastAsia="nl-NL"/>
              </w:rPr>
              <w:t>.</w:t>
            </w:r>
            <w:r w:rsidRPr="00921150">
              <w:rPr>
                <w:rFonts w:ascii="Calibri" w:eastAsia="Times New Roman" w:hAnsi="Calibri" w:cs="Times New Roman"/>
                <w:lang w:eastAsia="nl-NL"/>
              </w:rPr>
              <w:t>950</w:t>
            </w:r>
            <w:r w:rsidR="00277A98" w:rsidRPr="00921150">
              <w:rPr>
                <w:rFonts w:ascii="Calibri" w:eastAsia="Times New Roman" w:hAnsi="Calibri" w:cs="Times New Roman"/>
                <w:lang w:eastAsia="nl-NL"/>
              </w:rPr>
              <w:t xml:space="preserve"> (</w:t>
            </w:r>
            <w:r w:rsidR="00CC5D7B" w:rsidRPr="00921150">
              <w:rPr>
                <w:rFonts w:ascii="Calibri" w:eastAsia="Times New Roman" w:hAnsi="Calibri" w:cs="Times New Roman"/>
                <w:lang w:eastAsia="nl-NL"/>
              </w:rPr>
              <w:t>4</w:t>
            </w:r>
            <w:r w:rsidR="00094ED8" w:rsidRPr="00921150">
              <w:rPr>
                <w:rFonts w:ascii="Calibri" w:eastAsia="Times New Roman" w:hAnsi="Calibri" w:cs="Times New Roman"/>
                <w:lang w:eastAsia="nl-NL"/>
              </w:rPr>
              <w:t>.</w:t>
            </w:r>
            <w:r w:rsidR="00CC5D7B" w:rsidRPr="00921150">
              <w:rPr>
                <w:rFonts w:ascii="Calibri" w:eastAsia="Times New Roman" w:hAnsi="Calibri" w:cs="Times New Roman"/>
                <w:lang w:eastAsia="nl-NL"/>
              </w:rPr>
              <w:t>5</w:t>
            </w:r>
            <w:r w:rsidR="00277A98" w:rsidRPr="00921150">
              <w:rPr>
                <w:rFonts w:ascii="Calibri" w:eastAsia="Times New Roman" w:hAnsi="Calibri" w:cs="Times New Roman"/>
                <w:lang w:eastAsia="nl-NL"/>
              </w:rPr>
              <w:t>00-5</w:t>
            </w:r>
            <w:r w:rsidR="00094ED8" w:rsidRPr="00921150">
              <w:rPr>
                <w:rFonts w:ascii="Calibri" w:eastAsia="Times New Roman" w:hAnsi="Calibri" w:cs="Times New Roman"/>
                <w:lang w:eastAsia="nl-NL"/>
              </w:rPr>
              <w:t>.</w:t>
            </w:r>
            <w:r w:rsidR="00277A98" w:rsidRPr="00921150">
              <w:rPr>
                <w:rFonts w:ascii="Calibri" w:eastAsia="Times New Roman" w:hAnsi="Calibri" w:cs="Times New Roman"/>
                <w:lang w:eastAsia="nl-NL"/>
              </w:rPr>
              <w:t>300)</w:t>
            </w:r>
          </w:p>
        </w:tc>
        <w:tc>
          <w:tcPr>
            <w:tcW w:w="1115" w:type="pct"/>
            <w:tcBorders>
              <w:top w:val="single" w:sz="4" w:space="0" w:color="auto"/>
            </w:tcBorders>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4</w:t>
            </w:r>
            <w:r w:rsidR="00094ED8" w:rsidRPr="00921150">
              <w:rPr>
                <w:rFonts w:ascii="Calibri" w:eastAsia="Times New Roman" w:hAnsi="Calibri" w:cs="Times New Roman"/>
                <w:lang w:eastAsia="nl-NL"/>
              </w:rPr>
              <w:t>.</w:t>
            </w:r>
            <w:r w:rsidRPr="00921150">
              <w:rPr>
                <w:rFonts w:ascii="Calibri" w:eastAsia="Times New Roman" w:hAnsi="Calibri" w:cs="Times New Roman"/>
                <w:lang w:eastAsia="nl-NL"/>
              </w:rPr>
              <w:t>710</w:t>
            </w:r>
            <w:r w:rsidR="00392514" w:rsidRPr="00921150">
              <w:rPr>
                <w:rFonts w:ascii="Calibri" w:eastAsia="Times New Roman" w:hAnsi="Calibri" w:cs="Times New Roman"/>
                <w:lang w:eastAsia="nl-NL"/>
              </w:rPr>
              <w:t xml:space="preserve"> (3</w:t>
            </w:r>
            <w:r w:rsidR="00094ED8" w:rsidRPr="00921150">
              <w:rPr>
                <w:rFonts w:ascii="Calibri" w:eastAsia="Times New Roman" w:hAnsi="Calibri" w:cs="Times New Roman"/>
                <w:lang w:eastAsia="nl-NL"/>
              </w:rPr>
              <w:t>.</w:t>
            </w:r>
            <w:r w:rsidR="00392514" w:rsidRPr="00921150">
              <w:rPr>
                <w:rFonts w:ascii="Calibri" w:eastAsia="Times New Roman" w:hAnsi="Calibri" w:cs="Times New Roman"/>
                <w:lang w:eastAsia="nl-NL"/>
              </w:rPr>
              <w:t>000-5</w:t>
            </w:r>
            <w:r w:rsidR="00094ED8" w:rsidRPr="00921150">
              <w:rPr>
                <w:rFonts w:ascii="Calibri" w:eastAsia="Times New Roman" w:hAnsi="Calibri" w:cs="Times New Roman"/>
                <w:lang w:eastAsia="nl-NL"/>
              </w:rPr>
              <w:t>.</w:t>
            </w:r>
            <w:r w:rsidR="00392514" w:rsidRPr="00921150">
              <w:rPr>
                <w:rFonts w:ascii="Calibri" w:eastAsia="Times New Roman" w:hAnsi="Calibri" w:cs="Times New Roman"/>
                <w:lang w:eastAsia="nl-NL"/>
              </w:rPr>
              <w:t>460)</w:t>
            </w:r>
          </w:p>
        </w:tc>
        <w:tc>
          <w:tcPr>
            <w:tcW w:w="1115" w:type="pct"/>
            <w:tcBorders>
              <w:top w:val="single" w:sz="4" w:space="0" w:color="auto"/>
            </w:tcBorders>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3</w:t>
            </w:r>
            <w:r w:rsidR="00094ED8" w:rsidRPr="00921150">
              <w:rPr>
                <w:rFonts w:ascii="Calibri" w:eastAsia="Times New Roman" w:hAnsi="Calibri" w:cs="Times New Roman"/>
                <w:lang w:eastAsia="nl-NL"/>
              </w:rPr>
              <w:t>.</w:t>
            </w:r>
            <w:r w:rsidRPr="00921150">
              <w:rPr>
                <w:rFonts w:ascii="Calibri" w:eastAsia="Times New Roman" w:hAnsi="Calibri" w:cs="Times New Roman"/>
                <w:lang w:eastAsia="nl-NL"/>
              </w:rPr>
              <w:t>570</w:t>
            </w:r>
            <w:r w:rsidR="008D3FBB" w:rsidRPr="00921150">
              <w:rPr>
                <w:rFonts w:ascii="Calibri" w:eastAsia="Times New Roman" w:hAnsi="Calibri" w:cs="Times New Roman"/>
                <w:lang w:eastAsia="nl-NL"/>
              </w:rPr>
              <w:t xml:space="preserve"> (2</w:t>
            </w:r>
            <w:r w:rsidR="00094ED8" w:rsidRPr="00921150">
              <w:rPr>
                <w:rFonts w:ascii="Calibri" w:eastAsia="Times New Roman" w:hAnsi="Calibri" w:cs="Times New Roman"/>
                <w:lang w:eastAsia="nl-NL"/>
              </w:rPr>
              <w:t>.</w:t>
            </w:r>
            <w:r w:rsidR="008D3FBB" w:rsidRPr="00921150">
              <w:rPr>
                <w:rFonts w:ascii="Calibri" w:eastAsia="Times New Roman" w:hAnsi="Calibri" w:cs="Times New Roman"/>
                <w:lang w:eastAsia="nl-NL"/>
              </w:rPr>
              <w:t>040-6</w:t>
            </w:r>
            <w:r w:rsidR="00094ED8" w:rsidRPr="00921150">
              <w:rPr>
                <w:rFonts w:ascii="Calibri" w:eastAsia="Times New Roman" w:hAnsi="Calibri" w:cs="Times New Roman"/>
                <w:lang w:eastAsia="nl-NL"/>
              </w:rPr>
              <w:t>.</w:t>
            </w:r>
            <w:r w:rsidR="008D3FBB" w:rsidRPr="00921150">
              <w:rPr>
                <w:rFonts w:ascii="Calibri" w:eastAsia="Times New Roman" w:hAnsi="Calibri" w:cs="Times New Roman"/>
                <w:lang w:eastAsia="nl-NL"/>
              </w:rPr>
              <w:t>010)</w:t>
            </w:r>
          </w:p>
        </w:tc>
        <w:tc>
          <w:tcPr>
            <w:tcW w:w="1115" w:type="pct"/>
            <w:tcBorders>
              <w:top w:val="single" w:sz="4" w:space="0" w:color="auto"/>
            </w:tcBorders>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3</w:t>
            </w:r>
            <w:r w:rsidR="00094ED8" w:rsidRPr="00921150">
              <w:rPr>
                <w:rFonts w:ascii="Calibri" w:eastAsia="Times New Roman" w:hAnsi="Calibri" w:cs="Times New Roman"/>
                <w:lang w:eastAsia="nl-NL"/>
              </w:rPr>
              <w:t>.</w:t>
            </w:r>
            <w:r w:rsidRPr="00921150">
              <w:rPr>
                <w:rFonts w:ascii="Calibri" w:eastAsia="Times New Roman" w:hAnsi="Calibri" w:cs="Times New Roman"/>
                <w:lang w:eastAsia="nl-NL"/>
              </w:rPr>
              <w:t>540</w:t>
            </w:r>
            <w:r w:rsidR="00066EB5" w:rsidRPr="00921150">
              <w:rPr>
                <w:rFonts w:ascii="Calibri" w:eastAsia="Times New Roman" w:hAnsi="Calibri" w:cs="Times New Roman"/>
                <w:lang w:eastAsia="nl-NL"/>
              </w:rPr>
              <w:t xml:space="preserve"> (2</w:t>
            </w:r>
            <w:r w:rsidR="00094ED8" w:rsidRPr="00921150">
              <w:rPr>
                <w:rFonts w:ascii="Calibri" w:eastAsia="Times New Roman" w:hAnsi="Calibri" w:cs="Times New Roman"/>
                <w:lang w:eastAsia="nl-NL"/>
              </w:rPr>
              <w:t>.</w:t>
            </w:r>
            <w:r w:rsidR="00066EB5" w:rsidRPr="00921150">
              <w:rPr>
                <w:rFonts w:ascii="Calibri" w:eastAsia="Times New Roman" w:hAnsi="Calibri" w:cs="Times New Roman"/>
                <w:lang w:eastAsia="nl-NL"/>
              </w:rPr>
              <w:t>250-4</w:t>
            </w:r>
            <w:r w:rsidR="00094ED8" w:rsidRPr="00921150">
              <w:rPr>
                <w:rFonts w:ascii="Calibri" w:eastAsia="Times New Roman" w:hAnsi="Calibri" w:cs="Times New Roman"/>
                <w:lang w:eastAsia="nl-NL"/>
              </w:rPr>
              <w:t>.</w:t>
            </w:r>
            <w:r w:rsidR="00066EB5" w:rsidRPr="00921150">
              <w:rPr>
                <w:rFonts w:ascii="Calibri" w:eastAsia="Times New Roman" w:hAnsi="Calibri" w:cs="Times New Roman"/>
                <w:lang w:eastAsia="nl-NL"/>
              </w:rPr>
              <w:t>910)</w:t>
            </w:r>
          </w:p>
        </w:tc>
      </w:tr>
      <w:tr w:rsidR="00BF5799" w:rsidRPr="00921150" w:rsidTr="00921150">
        <w:trPr>
          <w:trHeight w:val="300"/>
        </w:trPr>
        <w:tc>
          <w:tcPr>
            <w:tcW w:w="538" w:type="pct"/>
            <w:tcBorders>
              <w:right w:val="single" w:sz="6" w:space="0" w:color="000000"/>
            </w:tcBorders>
            <w:shd w:val="clear" w:color="auto" w:fill="auto"/>
            <w:noWrap/>
            <w:vAlign w:val="bottom"/>
            <w:hideMark/>
          </w:tcPr>
          <w:p w:rsidR="00BF5799" w:rsidRPr="00921150" w:rsidRDefault="00BF5799" w:rsidP="00921150">
            <w:pPr>
              <w:spacing w:after="0" w:line="240" w:lineRule="auto"/>
              <w:rPr>
                <w:rFonts w:ascii="Calibri" w:eastAsia="Times New Roman" w:hAnsi="Calibri" w:cs="Times New Roman"/>
                <w:lang w:eastAsia="nl-NL"/>
              </w:rPr>
            </w:pPr>
            <w:r w:rsidRPr="00921150">
              <w:rPr>
                <w:rFonts w:ascii="Calibri" w:eastAsia="Times New Roman" w:hAnsi="Calibri" w:cs="Times New Roman"/>
                <w:lang w:eastAsia="nl-NL"/>
              </w:rPr>
              <w:t>K</w:t>
            </w:r>
          </w:p>
        </w:tc>
        <w:tc>
          <w:tcPr>
            <w:tcW w:w="1115" w:type="pct"/>
            <w:tcBorders>
              <w:left w:val="single" w:sz="6" w:space="0" w:color="000000"/>
            </w:tcBorders>
            <w:shd w:val="clear" w:color="auto" w:fill="auto"/>
            <w:noWrap/>
            <w:vAlign w:val="bottom"/>
            <w:hideMark/>
          </w:tcPr>
          <w:p w:rsidR="00BF5799" w:rsidRPr="00921150" w:rsidRDefault="00BF5799" w:rsidP="00921150">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6</w:t>
            </w:r>
            <w:r w:rsidR="00094ED8" w:rsidRPr="00921150">
              <w:rPr>
                <w:rFonts w:ascii="Calibri" w:eastAsia="Times New Roman" w:hAnsi="Calibri" w:cs="Times New Roman"/>
                <w:lang w:eastAsia="nl-NL"/>
              </w:rPr>
              <w:t>.</w:t>
            </w:r>
            <w:r w:rsidRPr="00921150">
              <w:rPr>
                <w:rFonts w:ascii="Calibri" w:eastAsia="Times New Roman" w:hAnsi="Calibri" w:cs="Times New Roman"/>
                <w:lang w:eastAsia="nl-NL"/>
              </w:rPr>
              <w:t>980</w:t>
            </w:r>
            <w:r w:rsidR="00277A98" w:rsidRPr="00921150">
              <w:rPr>
                <w:rFonts w:ascii="Calibri" w:eastAsia="Times New Roman" w:hAnsi="Calibri" w:cs="Times New Roman"/>
                <w:lang w:eastAsia="nl-NL"/>
              </w:rPr>
              <w:t xml:space="preserve"> (3</w:t>
            </w:r>
            <w:r w:rsidR="00094ED8" w:rsidRPr="00921150">
              <w:rPr>
                <w:rFonts w:ascii="Calibri" w:eastAsia="Times New Roman" w:hAnsi="Calibri" w:cs="Times New Roman"/>
                <w:lang w:eastAsia="nl-NL"/>
              </w:rPr>
              <w:t>.</w:t>
            </w:r>
            <w:r w:rsidR="00277A98" w:rsidRPr="00921150">
              <w:rPr>
                <w:rFonts w:ascii="Calibri" w:eastAsia="Times New Roman" w:hAnsi="Calibri" w:cs="Times New Roman"/>
                <w:lang w:eastAsia="nl-NL"/>
              </w:rPr>
              <w:t>810-8</w:t>
            </w:r>
            <w:r w:rsidR="00094ED8" w:rsidRPr="00921150">
              <w:rPr>
                <w:rFonts w:ascii="Calibri" w:eastAsia="Times New Roman" w:hAnsi="Calibri" w:cs="Times New Roman"/>
                <w:lang w:eastAsia="nl-NL"/>
              </w:rPr>
              <w:t>.</w:t>
            </w:r>
            <w:r w:rsidR="00277A98" w:rsidRPr="00921150">
              <w:rPr>
                <w:rFonts w:ascii="Calibri" w:eastAsia="Times New Roman" w:hAnsi="Calibri" w:cs="Times New Roman"/>
                <w:lang w:eastAsia="nl-NL"/>
              </w:rPr>
              <w:t>260)</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5</w:t>
            </w:r>
            <w:r w:rsidR="00094ED8" w:rsidRPr="00921150">
              <w:rPr>
                <w:rFonts w:ascii="Calibri" w:eastAsia="Times New Roman" w:hAnsi="Calibri" w:cs="Times New Roman"/>
                <w:lang w:eastAsia="nl-NL"/>
              </w:rPr>
              <w:t>.</w:t>
            </w:r>
            <w:r w:rsidRPr="00921150">
              <w:rPr>
                <w:rFonts w:ascii="Calibri" w:eastAsia="Times New Roman" w:hAnsi="Calibri" w:cs="Times New Roman"/>
                <w:lang w:eastAsia="nl-NL"/>
              </w:rPr>
              <w:t>210</w:t>
            </w:r>
            <w:r w:rsidR="00392514" w:rsidRPr="00921150">
              <w:rPr>
                <w:rFonts w:ascii="Calibri" w:eastAsia="Times New Roman" w:hAnsi="Calibri" w:cs="Times New Roman"/>
                <w:lang w:eastAsia="nl-NL"/>
              </w:rPr>
              <w:t xml:space="preserve"> (870-8</w:t>
            </w:r>
            <w:r w:rsidR="00094ED8" w:rsidRPr="00921150">
              <w:rPr>
                <w:rFonts w:ascii="Calibri" w:eastAsia="Times New Roman" w:hAnsi="Calibri" w:cs="Times New Roman"/>
                <w:lang w:eastAsia="nl-NL"/>
              </w:rPr>
              <w:t>.</w:t>
            </w:r>
            <w:r w:rsidR="00392514" w:rsidRPr="00921150">
              <w:rPr>
                <w:rFonts w:ascii="Calibri" w:eastAsia="Times New Roman" w:hAnsi="Calibri" w:cs="Times New Roman"/>
                <w:lang w:eastAsia="nl-NL"/>
              </w:rPr>
              <w:t>600)</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4</w:t>
            </w:r>
            <w:r w:rsidR="00094ED8" w:rsidRPr="00921150">
              <w:rPr>
                <w:rFonts w:ascii="Calibri" w:eastAsia="Times New Roman" w:hAnsi="Calibri" w:cs="Times New Roman"/>
                <w:lang w:eastAsia="nl-NL"/>
              </w:rPr>
              <w:t>.</w:t>
            </w:r>
            <w:r w:rsidRPr="00921150">
              <w:rPr>
                <w:rFonts w:ascii="Calibri" w:eastAsia="Times New Roman" w:hAnsi="Calibri" w:cs="Times New Roman"/>
                <w:lang w:eastAsia="nl-NL"/>
              </w:rPr>
              <w:t>340</w:t>
            </w:r>
            <w:r w:rsidR="00646029" w:rsidRPr="00921150">
              <w:rPr>
                <w:rFonts w:ascii="Calibri" w:eastAsia="Times New Roman" w:hAnsi="Calibri" w:cs="Times New Roman"/>
                <w:lang w:eastAsia="nl-NL"/>
              </w:rPr>
              <w:t xml:space="preserve"> (700</w:t>
            </w:r>
            <w:r w:rsidR="008D3FBB" w:rsidRPr="00921150">
              <w:rPr>
                <w:rFonts w:ascii="Calibri" w:eastAsia="Times New Roman" w:hAnsi="Calibri" w:cs="Times New Roman"/>
                <w:lang w:eastAsia="nl-NL"/>
              </w:rPr>
              <w:t>-7</w:t>
            </w:r>
            <w:r w:rsidR="00094ED8" w:rsidRPr="00921150">
              <w:rPr>
                <w:rFonts w:ascii="Calibri" w:eastAsia="Times New Roman" w:hAnsi="Calibri" w:cs="Times New Roman"/>
                <w:lang w:eastAsia="nl-NL"/>
              </w:rPr>
              <w:t>.</w:t>
            </w:r>
            <w:r w:rsidR="008D3FBB" w:rsidRPr="00921150">
              <w:rPr>
                <w:rFonts w:ascii="Calibri" w:eastAsia="Times New Roman" w:hAnsi="Calibri" w:cs="Times New Roman"/>
                <w:lang w:eastAsia="nl-NL"/>
              </w:rPr>
              <w:t>200)</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5</w:t>
            </w:r>
            <w:r w:rsidR="00094ED8" w:rsidRPr="00921150">
              <w:rPr>
                <w:rFonts w:ascii="Calibri" w:eastAsia="Times New Roman" w:hAnsi="Calibri" w:cs="Times New Roman"/>
                <w:lang w:eastAsia="nl-NL"/>
              </w:rPr>
              <w:t>.</w:t>
            </w:r>
            <w:r w:rsidRPr="00921150">
              <w:rPr>
                <w:rFonts w:ascii="Calibri" w:eastAsia="Times New Roman" w:hAnsi="Calibri" w:cs="Times New Roman"/>
                <w:lang w:eastAsia="nl-NL"/>
              </w:rPr>
              <w:t>040</w:t>
            </w:r>
            <w:r w:rsidR="00066EB5" w:rsidRPr="00921150">
              <w:rPr>
                <w:rFonts w:ascii="Calibri" w:eastAsia="Times New Roman" w:hAnsi="Calibri" w:cs="Times New Roman"/>
                <w:lang w:eastAsia="nl-NL"/>
              </w:rPr>
              <w:t xml:space="preserve"> (1</w:t>
            </w:r>
            <w:r w:rsidR="00094ED8" w:rsidRPr="00921150">
              <w:rPr>
                <w:rFonts w:ascii="Calibri" w:eastAsia="Times New Roman" w:hAnsi="Calibri" w:cs="Times New Roman"/>
                <w:lang w:eastAsia="nl-NL"/>
              </w:rPr>
              <w:t>.</w:t>
            </w:r>
            <w:r w:rsidR="00066EB5" w:rsidRPr="00921150">
              <w:rPr>
                <w:rFonts w:ascii="Calibri" w:eastAsia="Times New Roman" w:hAnsi="Calibri" w:cs="Times New Roman"/>
                <w:lang w:eastAsia="nl-NL"/>
              </w:rPr>
              <w:t>080-5</w:t>
            </w:r>
            <w:r w:rsidR="00094ED8" w:rsidRPr="00921150">
              <w:rPr>
                <w:rFonts w:ascii="Calibri" w:eastAsia="Times New Roman" w:hAnsi="Calibri" w:cs="Times New Roman"/>
                <w:lang w:eastAsia="nl-NL"/>
              </w:rPr>
              <w:t>.</w:t>
            </w:r>
            <w:r w:rsidR="00066EB5" w:rsidRPr="00921150">
              <w:rPr>
                <w:rFonts w:ascii="Calibri" w:eastAsia="Times New Roman" w:hAnsi="Calibri" w:cs="Times New Roman"/>
                <w:lang w:eastAsia="nl-NL"/>
              </w:rPr>
              <w:t>200)</w:t>
            </w:r>
          </w:p>
        </w:tc>
      </w:tr>
      <w:tr w:rsidR="00BF5799" w:rsidRPr="00921150" w:rsidTr="00921150">
        <w:trPr>
          <w:trHeight w:val="300"/>
        </w:trPr>
        <w:tc>
          <w:tcPr>
            <w:tcW w:w="538" w:type="pct"/>
            <w:tcBorders>
              <w:right w:val="single" w:sz="6" w:space="0" w:color="000000"/>
            </w:tcBorders>
            <w:shd w:val="clear" w:color="auto" w:fill="auto"/>
            <w:noWrap/>
            <w:vAlign w:val="bottom"/>
            <w:hideMark/>
          </w:tcPr>
          <w:p w:rsidR="00BF5799" w:rsidRPr="00921150" w:rsidRDefault="00BF5799" w:rsidP="00921150">
            <w:pPr>
              <w:spacing w:after="0" w:line="240" w:lineRule="auto"/>
              <w:rPr>
                <w:rFonts w:ascii="Calibri" w:eastAsia="Times New Roman" w:hAnsi="Calibri" w:cs="Times New Roman"/>
                <w:lang w:eastAsia="nl-NL"/>
              </w:rPr>
            </w:pPr>
            <w:r w:rsidRPr="00921150">
              <w:rPr>
                <w:rFonts w:ascii="Calibri" w:eastAsia="Times New Roman" w:hAnsi="Calibri" w:cs="Times New Roman"/>
                <w:lang w:eastAsia="nl-NL"/>
              </w:rPr>
              <w:t>Na</w:t>
            </w:r>
          </w:p>
        </w:tc>
        <w:tc>
          <w:tcPr>
            <w:tcW w:w="1115" w:type="pct"/>
            <w:tcBorders>
              <w:left w:val="single" w:sz="6" w:space="0" w:color="000000"/>
            </w:tcBorders>
            <w:shd w:val="clear" w:color="auto" w:fill="auto"/>
            <w:noWrap/>
            <w:vAlign w:val="bottom"/>
            <w:hideMark/>
          </w:tcPr>
          <w:p w:rsidR="00BF5799" w:rsidRPr="00921150" w:rsidRDefault="00BF5799" w:rsidP="00921150">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2</w:t>
            </w:r>
            <w:r w:rsidR="00094ED8" w:rsidRPr="00921150">
              <w:rPr>
                <w:rFonts w:ascii="Calibri" w:eastAsia="Times New Roman" w:hAnsi="Calibri" w:cs="Times New Roman"/>
                <w:lang w:eastAsia="nl-NL"/>
              </w:rPr>
              <w:t>.</w:t>
            </w:r>
            <w:r w:rsidRPr="00921150">
              <w:rPr>
                <w:rFonts w:ascii="Calibri" w:eastAsia="Times New Roman" w:hAnsi="Calibri" w:cs="Times New Roman"/>
                <w:lang w:eastAsia="nl-NL"/>
              </w:rPr>
              <w:t>040</w:t>
            </w:r>
            <w:r w:rsidR="00277A98" w:rsidRPr="00921150">
              <w:rPr>
                <w:rFonts w:ascii="Calibri" w:eastAsia="Times New Roman" w:hAnsi="Calibri" w:cs="Times New Roman"/>
                <w:lang w:eastAsia="nl-NL"/>
              </w:rPr>
              <w:t xml:space="preserve"> (1</w:t>
            </w:r>
            <w:r w:rsidR="00094ED8" w:rsidRPr="00921150">
              <w:rPr>
                <w:rFonts w:ascii="Calibri" w:eastAsia="Times New Roman" w:hAnsi="Calibri" w:cs="Times New Roman"/>
                <w:lang w:eastAsia="nl-NL"/>
              </w:rPr>
              <w:t>.</w:t>
            </w:r>
            <w:r w:rsidR="00277A98" w:rsidRPr="00921150">
              <w:rPr>
                <w:rFonts w:ascii="Calibri" w:eastAsia="Times New Roman" w:hAnsi="Calibri" w:cs="Times New Roman"/>
                <w:lang w:eastAsia="nl-NL"/>
              </w:rPr>
              <w:t>100-3</w:t>
            </w:r>
            <w:r w:rsidR="00094ED8" w:rsidRPr="00921150">
              <w:rPr>
                <w:rFonts w:ascii="Calibri" w:eastAsia="Times New Roman" w:hAnsi="Calibri" w:cs="Times New Roman"/>
                <w:lang w:eastAsia="nl-NL"/>
              </w:rPr>
              <w:t>.</w:t>
            </w:r>
            <w:r w:rsidR="00277A98" w:rsidRPr="00921150">
              <w:rPr>
                <w:rFonts w:ascii="Calibri" w:eastAsia="Times New Roman" w:hAnsi="Calibri" w:cs="Times New Roman"/>
                <w:lang w:eastAsia="nl-NL"/>
              </w:rPr>
              <w:t>100)</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1</w:t>
            </w:r>
            <w:r w:rsidR="00094ED8" w:rsidRPr="00921150">
              <w:rPr>
                <w:rFonts w:ascii="Calibri" w:eastAsia="Times New Roman" w:hAnsi="Calibri" w:cs="Times New Roman"/>
                <w:lang w:eastAsia="nl-NL"/>
              </w:rPr>
              <w:t>.</w:t>
            </w:r>
            <w:r w:rsidRPr="00921150">
              <w:rPr>
                <w:rFonts w:ascii="Calibri" w:eastAsia="Times New Roman" w:hAnsi="Calibri" w:cs="Times New Roman"/>
                <w:lang w:eastAsia="nl-NL"/>
              </w:rPr>
              <w:t>890</w:t>
            </w:r>
            <w:r w:rsidR="00392514" w:rsidRPr="00921150">
              <w:rPr>
                <w:rFonts w:ascii="Calibri" w:eastAsia="Times New Roman" w:hAnsi="Calibri" w:cs="Times New Roman"/>
                <w:lang w:eastAsia="nl-NL"/>
              </w:rPr>
              <w:t xml:space="preserve"> (546-3</w:t>
            </w:r>
            <w:r w:rsidR="00094ED8" w:rsidRPr="00921150">
              <w:rPr>
                <w:rFonts w:ascii="Calibri" w:eastAsia="Times New Roman" w:hAnsi="Calibri" w:cs="Times New Roman"/>
                <w:lang w:eastAsia="nl-NL"/>
              </w:rPr>
              <w:t>.</w:t>
            </w:r>
            <w:r w:rsidR="00392514" w:rsidRPr="00921150">
              <w:rPr>
                <w:rFonts w:ascii="Calibri" w:eastAsia="Times New Roman" w:hAnsi="Calibri" w:cs="Times New Roman"/>
                <w:lang w:eastAsia="nl-NL"/>
              </w:rPr>
              <w:t>640)</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1</w:t>
            </w:r>
            <w:r w:rsidR="00094ED8" w:rsidRPr="00921150">
              <w:rPr>
                <w:rFonts w:ascii="Calibri" w:eastAsia="Times New Roman" w:hAnsi="Calibri" w:cs="Times New Roman"/>
                <w:lang w:eastAsia="nl-NL"/>
              </w:rPr>
              <w:t>.</w:t>
            </w:r>
            <w:r w:rsidRPr="00921150">
              <w:rPr>
                <w:rFonts w:ascii="Calibri" w:eastAsia="Times New Roman" w:hAnsi="Calibri" w:cs="Times New Roman"/>
                <w:lang w:eastAsia="nl-NL"/>
              </w:rPr>
              <w:t>480</w:t>
            </w:r>
            <w:r w:rsidR="008D3FBB" w:rsidRPr="00921150">
              <w:rPr>
                <w:rFonts w:ascii="Calibri" w:eastAsia="Times New Roman" w:hAnsi="Calibri" w:cs="Times New Roman"/>
                <w:lang w:eastAsia="nl-NL"/>
              </w:rPr>
              <w:t xml:space="preserve"> (321-3</w:t>
            </w:r>
            <w:r w:rsidR="00094ED8" w:rsidRPr="00921150">
              <w:rPr>
                <w:rFonts w:ascii="Calibri" w:eastAsia="Times New Roman" w:hAnsi="Calibri" w:cs="Times New Roman"/>
                <w:lang w:eastAsia="nl-NL"/>
              </w:rPr>
              <w:t>.</w:t>
            </w:r>
            <w:r w:rsidR="008D3FBB" w:rsidRPr="00921150">
              <w:rPr>
                <w:rFonts w:ascii="Calibri" w:eastAsia="Times New Roman" w:hAnsi="Calibri" w:cs="Times New Roman"/>
                <w:lang w:eastAsia="nl-NL"/>
              </w:rPr>
              <w:t>350)</w:t>
            </w:r>
          </w:p>
        </w:tc>
        <w:tc>
          <w:tcPr>
            <w:tcW w:w="1115" w:type="pct"/>
            <w:shd w:val="clear" w:color="auto" w:fill="auto"/>
            <w:noWrap/>
            <w:vAlign w:val="bottom"/>
            <w:hideMark/>
          </w:tcPr>
          <w:p w:rsidR="00BF5799" w:rsidRPr="00921150" w:rsidRDefault="00066EB5"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n</w:t>
            </w:r>
            <w:r w:rsidR="00BF5799" w:rsidRPr="00921150">
              <w:rPr>
                <w:rFonts w:ascii="Calibri" w:eastAsia="Times New Roman" w:hAnsi="Calibri" w:cs="Times New Roman"/>
                <w:lang w:eastAsia="nl-NL"/>
              </w:rPr>
              <w:t>b</w:t>
            </w:r>
          </w:p>
        </w:tc>
      </w:tr>
      <w:tr w:rsidR="00BF5799" w:rsidRPr="00921150" w:rsidTr="00921150">
        <w:trPr>
          <w:trHeight w:val="300"/>
        </w:trPr>
        <w:tc>
          <w:tcPr>
            <w:tcW w:w="538" w:type="pct"/>
            <w:tcBorders>
              <w:right w:val="single" w:sz="6" w:space="0" w:color="000000"/>
            </w:tcBorders>
            <w:shd w:val="clear" w:color="auto" w:fill="auto"/>
            <w:noWrap/>
            <w:vAlign w:val="bottom"/>
            <w:hideMark/>
          </w:tcPr>
          <w:p w:rsidR="00BF5799" w:rsidRPr="00921150" w:rsidRDefault="00BF5799" w:rsidP="00921150">
            <w:pPr>
              <w:spacing w:after="0" w:line="240" w:lineRule="auto"/>
              <w:rPr>
                <w:rFonts w:ascii="Calibri" w:eastAsia="Times New Roman" w:hAnsi="Calibri" w:cs="Times New Roman"/>
                <w:lang w:eastAsia="nl-NL"/>
              </w:rPr>
            </w:pPr>
            <w:r w:rsidRPr="00921150">
              <w:rPr>
                <w:rFonts w:ascii="Calibri" w:eastAsia="Times New Roman" w:hAnsi="Calibri" w:cs="Times New Roman"/>
                <w:lang w:eastAsia="nl-NL"/>
              </w:rPr>
              <w:t>Mg</w:t>
            </w:r>
          </w:p>
        </w:tc>
        <w:tc>
          <w:tcPr>
            <w:tcW w:w="1115" w:type="pct"/>
            <w:tcBorders>
              <w:left w:val="single" w:sz="6" w:space="0" w:color="000000"/>
            </w:tcBorders>
            <w:shd w:val="clear" w:color="auto" w:fill="auto"/>
            <w:noWrap/>
            <w:vAlign w:val="bottom"/>
            <w:hideMark/>
          </w:tcPr>
          <w:p w:rsidR="00BF5799" w:rsidRPr="00921150" w:rsidRDefault="00BF5799" w:rsidP="00921150">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580</w:t>
            </w:r>
            <w:r w:rsidR="00277A98" w:rsidRPr="00921150">
              <w:rPr>
                <w:rFonts w:ascii="Calibri" w:eastAsia="Times New Roman" w:hAnsi="Calibri" w:cs="Times New Roman"/>
                <w:lang w:eastAsia="nl-NL"/>
              </w:rPr>
              <w:t xml:space="preserve"> (360-900)</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690</w:t>
            </w:r>
            <w:r w:rsidR="00392514" w:rsidRPr="00921150">
              <w:rPr>
                <w:rFonts w:ascii="Calibri" w:eastAsia="Times New Roman" w:hAnsi="Calibri" w:cs="Times New Roman"/>
                <w:lang w:eastAsia="nl-NL"/>
              </w:rPr>
              <w:t xml:space="preserve"> (280-1</w:t>
            </w:r>
            <w:r w:rsidR="00094ED8" w:rsidRPr="00921150">
              <w:rPr>
                <w:rFonts w:ascii="Calibri" w:eastAsia="Times New Roman" w:hAnsi="Calibri" w:cs="Times New Roman"/>
                <w:lang w:eastAsia="nl-NL"/>
              </w:rPr>
              <w:t>.</w:t>
            </w:r>
            <w:r w:rsidR="00392514" w:rsidRPr="00921150">
              <w:rPr>
                <w:rFonts w:ascii="Calibri" w:eastAsia="Times New Roman" w:hAnsi="Calibri" w:cs="Times New Roman"/>
                <w:lang w:eastAsia="nl-NL"/>
              </w:rPr>
              <w:t>540)</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600</w:t>
            </w:r>
            <w:r w:rsidR="008D3FBB" w:rsidRPr="00921150">
              <w:rPr>
                <w:rFonts w:ascii="Calibri" w:eastAsia="Times New Roman" w:hAnsi="Calibri" w:cs="Times New Roman"/>
                <w:lang w:eastAsia="nl-NL"/>
              </w:rPr>
              <w:t xml:space="preserve"> (80-2</w:t>
            </w:r>
            <w:r w:rsidR="00094ED8" w:rsidRPr="00921150">
              <w:rPr>
                <w:rFonts w:ascii="Calibri" w:eastAsia="Times New Roman" w:hAnsi="Calibri" w:cs="Times New Roman"/>
                <w:lang w:eastAsia="nl-NL"/>
              </w:rPr>
              <w:t>.</w:t>
            </w:r>
            <w:r w:rsidR="008D3FBB" w:rsidRPr="00921150">
              <w:rPr>
                <w:rFonts w:ascii="Calibri" w:eastAsia="Times New Roman" w:hAnsi="Calibri" w:cs="Times New Roman"/>
                <w:lang w:eastAsia="nl-NL"/>
              </w:rPr>
              <w:t>080)</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448</w:t>
            </w:r>
            <w:r w:rsidR="00066EB5" w:rsidRPr="00921150">
              <w:rPr>
                <w:rFonts w:ascii="Calibri" w:eastAsia="Times New Roman" w:hAnsi="Calibri" w:cs="Times New Roman"/>
                <w:lang w:eastAsia="nl-NL"/>
              </w:rPr>
              <w:t xml:space="preserve"> (160-1</w:t>
            </w:r>
            <w:r w:rsidR="00094ED8" w:rsidRPr="00921150">
              <w:rPr>
                <w:rFonts w:ascii="Calibri" w:eastAsia="Times New Roman" w:hAnsi="Calibri" w:cs="Times New Roman"/>
                <w:lang w:eastAsia="nl-NL"/>
              </w:rPr>
              <w:t>.</w:t>
            </w:r>
            <w:r w:rsidR="00066EB5" w:rsidRPr="00921150">
              <w:rPr>
                <w:rFonts w:ascii="Calibri" w:eastAsia="Times New Roman" w:hAnsi="Calibri" w:cs="Times New Roman"/>
                <w:lang w:eastAsia="nl-NL"/>
              </w:rPr>
              <w:t>360)</w:t>
            </w:r>
          </w:p>
        </w:tc>
      </w:tr>
      <w:tr w:rsidR="00BF5799" w:rsidRPr="00921150" w:rsidTr="00921150">
        <w:trPr>
          <w:trHeight w:val="300"/>
        </w:trPr>
        <w:tc>
          <w:tcPr>
            <w:tcW w:w="538" w:type="pct"/>
            <w:tcBorders>
              <w:right w:val="single" w:sz="6" w:space="0" w:color="000000"/>
            </w:tcBorders>
            <w:shd w:val="clear" w:color="auto" w:fill="auto"/>
            <w:noWrap/>
            <w:vAlign w:val="bottom"/>
            <w:hideMark/>
          </w:tcPr>
          <w:p w:rsidR="00BF5799" w:rsidRPr="00921150" w:rsidRDefault="00BF5799" w:rsidP="00921150">
            <w:pPr>
              <w:spacing w:after="0" w:line="240" w:lineRule="auto"/>
              <w:rPr>
                <w:rFonts w:ascii="Calibri" w:eastAsia="Times New Roman" w:hAnsi="Calibri" w:cs="Times New Roman"/>
                <w:lang w:eastAsia="nl-NL"/>
              </w:rPr>
            </w:pPr>
            <w:r w:rsidRPr="00921150">
              <w:rPr>
                <w:rFonts w:ascii="Calibri" w:eastAsia="Times New Roman" w:hAnsi="Calibri" w:cs="Times New Roman"/>
                <w:lang w:eastAsia="nl-NL"/>
              </w:rPr>
              <w:t>B</w:t>
            </w:r>
          </w:p>
        </w:tc>
        <w:tc>
          <w:tcPr>
            <w:tcW w:w="1115" w:type="pct"/>
            <w:tcBorders>
              <w:left w:val="single" w:sz="6" w:space="0" w:color="000000"/>
            </w:tcBorders>
            <w:shd w:val="clear" w:color="auto" w:fill="auto"/>
            <w:noWrap/>
            <w:vAlign w:val="bottom"/>
            <w:hideMark/>
          </w:tcPr>
          <w:p w:rsidR="00BF5799" w:rsidRPr="00921150" w:rsidRDefault="00BF5799" w:rsidP="00921150">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3,6</w:t>
            </w:r>
            <w:r w:rsidR="00277A98" w:rsidRPr="00921150">
              <w:rPr>
                <w:rFonts w:ascii="Calibri" w:eastAsia="Times New Roman" w:hAnsi="Calibri" w:cs="Times New Roman"/>
                <w:lang w:eastAsia="nl-NL"/>
              </w:rPr>
              <w:t xml:space="preserve"> (2,4-9,3)</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4,2</w:t>
            </w:r>
            <w:r w:rsidR="00392514" w:rsidRPr="00921150">
              <w:rPr>
                <w:rFonts w:ascii="Calibri" w:eastAsia="Times New Roman" w:hAnsi="Calibri" w:cs="Times New Roman"/>
                <w:lang w:eastAsia="nl-NL"/>
              </w:rPr>
              <w:t xml:space="preserve"> (2,3-6,5)</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4,9</w:t>
            </w:r>
            <w:r w:rsidR="008D3FBB" w:rsidRPr="00921150">
              <w:rPr>
                <w:rFonts w:ascii="Calibri" w:eastAsia="Times New Roman" w:hAnsi="Calibri" w:cs="Times New Roman"/>
                <w:lang w:eastAsia="nl-NL"/>
              </w:rPr>
              <w:t xml:space="preserve"> (1,6-9,7)</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4,3</w:t>
            </w:r>
            <w:r w:rsidR="00066EB5" w:rsidRPr="00921150">
              <w:rPr>
                <w:rFonts w:ascii="Calibri" w:eastAsia="Times New Roman" w:hAnsi="Calibri" w:cs="Times New Roman"/>
                <w:lang w:eastAsia="nl-NL"/>
              </w:rPr>
              <w:t xml:space="preserve"> (2,0-8,0)</w:t>
            </w:r>
          </w:p>
        </w:tc>
      </w:tr>
      <w:tr w:rsidR="00BF5799" w:rsidRPr="00921150" w:rsidTr="00921150">
        <w:trPr>
          <w:trHeight w:val="300"/>
        </w:trPr>
        <w:tc>
          <w:tcPr>
            <w:tcW w:w="538" w:type="pct"/>
            <w:tcBorders>
              <w:right w:val="single" w:sz="6" w:space="0" w:color="000000"/>
            </w:tcBorders>
            <w:shd w:val="clear" w:color="auto" w:fill="auto"/>
            <w:noWrap/>
            <w:vAlign w:val="bottom"/>
            <w:hideMark/>
          </w:tcPr>
          <w:p w:rsidR="00BF5799" w:rsidRPr="00921150" w:rsidRDefault="00BF5799" w:rsidP="00921150">
            <w:pPr>
              <w:spacing w:after="0" w:line="240" w:lineRule="auto"/>
              <w:rPr>
                <w:rFonts w:ascii="Calibri" w:eastAsia="Times New Roman" w:hAnsi="Calibri" w:cs="Times New Roman"/>
                <w:lang w:eastAsia="nl-NL"/>
              </w:rPr>
            </w:pPr>
            <w:r w:rsidRPr="00921150">
              <w:rPr>
                <w:rFonts w:ascii="Calibri" w:eastAsia="Times New Roman" w:hAnsi="Calibri" w:cs="Times New Roman"/>
                <w:lang w:eastAsia="nl-NL"/>
              </w:rPr>
              <w:t>P</w:t>
            </w:r>
          </w:p>
        </w:tc>
        <w:tc>
          <w:tcPr>
            <w:tcW w:w="1115" w:type="pct"/>
            <w:tcBorders>
              <w:left w:val="single" w:sz="6" w:space="0" w:color="000000"/>
            </w:tcBorders>
            <w:shd w:val="clear" w:color="auto" w:fill="auto"/>
            <w:noWrap/>
            <w:vAlign w:val="bottom"/>
            <w:hideMark/>
          </w:tcPr>
          <w:p w:rsidR="00BF5799" w:rsidRPr="00921150" w:rsidRDefault="00BF5799" w:rsidP="00921150">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590</w:t>
            </w:r>
            <w:r w:rsidR="00277A98" w:rsidRPr="00921150">
              <w:rPr>
                <w:rFonts w:ascii="Calibri" w:eastAsia="Times New Roman" w:hAnsi="Calibri" w:cs="Times New Roman"/>
                <w:lang w:eastAsia="nl-NL"/>
              </w:rPr>
              <w:t xml:space="preserve"> (450-720)</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430</w:t>
            </w:r>
            <w:r w:rsidR="00392514" w:rsidRPr="00921150">
              <w:rPr>
                <w:rFonts w:ascii="Calibri" w:eastAsia="Times New Roman" w:hAnsi="Calibri" w:cs="Times New Roman"/>
                <w:lang w:eastAsia="nl-NL"/>
              </w:rPr>
              <w:t xml:space="preserve"> (230-720)</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340</w:t>
            </w:r>
            <w:r w:rsidR="008D3FBB" w:rsidRPr="00921150">
              <w:rPr>
                <w:rFonts w:ascii="Calibri" w:eastAsia="Times New Roman" w:hAnsi="Calibri" w:cs="Times New Roman"/>
                <w:lang w:eastAsia="nl-NL"/>
              </w:rPr>
              <w:t xml:space="preserve"> (170-850)</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310</w:t>
            </w:r>
            <w:r w:rsidR="00066EB5" w:rsidRPr="00921150">
              <w:rPr>
                <w:rFonts w:ascii="Calibri" w:eastAsia="Times New Roman" w:hAnsi="Calibri" w:cs="Times New Roman"/>
                <w:lang w:eastAsia="nl-NL"/>
              </w:rPr>
              <w:t xml:space="preserve"> (190-410)</w:t>
            </w:r>
          </w:p>
        </w:tc>
      </w:tr>
      <w:tr w:rsidR="00BF5799" w:rsidRPr="00921150" w:rsidTr="00921150">
        <w:trPr>
          <w:trHeight w:val="300"/>
        </w:trPr>
        <w:tc>
          <w:tcPr>
            <w:tcW w:w="538" w:type="pct"/>
            <w:tcBorders>
              <w:right w:val="single" w:sz="6" w:space="0" w:color="000000"/>
            </w:tcBorders>
            <w:shd w:val="clear" w:color="auto" w:fill="auto"/>
            <w:noWrap/>
            <w:vAlign w:val="bottom"/>
            <w:hideMark/>
          </w:tcPr>
          <w:p w:rsidR="00BF5799" w:rsidRPr="00921150" w:rsidRDefault="00BF5799" w:rsidP="00921150">
            <w:pPr>
              <w:spacing w:after="0" w:line="240" w:lineRule="auto"/>
              <w:rPr>
                <w:rFonts w:ascii="Calibri" w:eastAsia="Times New Roman" w:hAnsi="Calibri" w:cs="Times New Roman"/>
                <w:lang w:eastAsia="nl-NL"/>
              </w:rPr>
            </w:pPr>
            <w:r w:rsidRPr="00921150">
              <w:rPr>
                <w:rFonts w:ascii="Calibri" w:eastAsia="Times New Roman" w:hAnsi="Calibri" w:cs="Times New Roman"/>
                <w:lang w:eastAsia="nl-NL"/>
              </w:rPr>
              <w:t>Ca</w:t>
            </w:r>
          </w:p>
        </w:tc>
        <w:tc>
          <w:tcPr>
            <w:tcW w:w="1115" w:type="pct"/>
            <w:tcBorders>
              <w:left w:val="single" w:sz="6" w:space="0" w:color="000000"/>
            </w:tcBorders>
            <w:shd w:val="clear" w:color="auto" w:fill="auto"/>
            <w:noWrap/>
            <w:vAlign w:val="bottom"/>
            <w:hideMark/>
          </w:tcPr>
          <w:p w:rsidR="00BF5799" w:rsidRPr="00921150" w:rsidRDefault="00BF5799" w:rsidP="00921150">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1</w:t>
            </w:r>
            <w:r w:rsidR="00094ED8" w:rsidRPr="00921150">
              <w:rPr>
                <w:rFonts w:ascii="Calibri" w:eastAsia="Times New Roman" w:hAnsi="Calibri" w:cs="Times New Roman"/>
                <w:lang w:eastAsia="nl-NL"/>
              </w:rPr>
              <w:t>.</w:t>
            </w:r>
            <w:r w:rsidRPr="00921150">
              <w:rPr>
                <w:rFonts w:ascii="Calibri" w:eastAsia="Times New Roman" w:hAnsi="Calibri" w:cs="Times New Roman"/>
                <w:lang w:eastAsia="nl-NL"/>
              </w:rPr>
              <w:t>980</w:t>
            </w:r>
            <w:r w:rsidR="00277A98" w:rsidRPr="00921150">
              <w:rPr>
                <w:rFonts w:ascii="Calibri" w:eastAsia="Times New Roman" w:hAnsi="Calibri" w:cs="Times New Roman"/>
                <w:lang w:eastAsia="nl-NL"/>
              </w:rPr>
              <w:t xml:space="preserve"> (</w:t>
            </w:r>
            <w:r w:rsidR="00466D2C" w:rsidRPr="00921150">
              <w:rPr>
                <w:rFonts w:ascii="Calibri" w:eastAsia="Times New Roman" w:hAnsi="Calibri" w:cs="Times New Roman"/>
                <w:lang w:eastAsia="nl-NL"/>
              </w:rPr>
              <w:t>1</w:t>
            </w:r>
            <w:r w:rsidR="00094ED8" w:rsidRPr="00921150">
              <w:rPr>
                <w:rFonts w:ascii="Calibri" w:eastAsia="Times New Roman" w:hAnsi="Calibri" w:cs="Times New Roman"/>
                <w:lang w:eastAsia="nl-NL"/>
              </w:rPr>
              <w:t>.</w:t>
            </w:r>
            <w:r w:rsidR="00466D2C" w:rsidRPr="00921150">
              <w:rPr>
                <w:rFonts w:ascii="Calibri" w:eastAsia="Times New Roman" w:hAnsi="Calibri" w:cs="Times New Roman"/>
                <w:lang w:eastAsia="nl-NL"/>
              </w:rPr>
              <w:t>250-2</w:t>
            </w:r>
            <w:r w:rsidR="00094ED8" w:rsidRPr="00921150">
              <w:rPr>
                <w:rFonts w:ascii="Calibri" w:eastAsia="Times New Roman" w:hAnsi="Calibri" w:cs="Times New Roman"/>
                <w:lang w:eastAsia="nl-NL"/>
              </w:rPr>
              <w:t>.</w:t>
            </w:r>
            <w:r w:rsidR="00466D2C" w:rsidRPr="00921150">
              <w:rPr>
                <w:rFonts w:ascii="Calibri" w:eastAsia="Times New Roman" w:hAnsi="Calibri" w:cs="Times New Roman"/>
                <w:lang w:eastAsia="nl-NL"/>
              </w:rPr>
              <w:t>750)</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1</w:t>
            </w:r>
            <w:r w:rsidR="00094ED8" w:rsidRPr="00921150">
              <w:rPr>
                <w:rFonts w:ascii="Calibri" w:eastAsia="Times New Roman" w:hAnsi="Calibri" w:cs="Times New Roman"/>
                <w:lang w:eastAsia="nl-NL"/>
              </w:rPr>
              <w:t>.</w:t>
            </w:r>
            <w:r w:rsidRPr="00921150">
              <w:rPr>
                <w:rFonts w:ascii="Calibri" w:eastAsia="Times New Roman" w:hAnsi="Calibri" w:cs="Times New Roman"/>
                <w:lang w:eastAsia="nl-NL"/>
              </w:rPr>
              <w:t>600</w:t>
            </w:r>
            <w:r w:rsidR="00392514" w:rsidRPr="00921150">
              <w:rPr>
                <w:rFonts w:ascii="Calibri" w:eastAsia="Times New Roman" w:hAnsi="Calibri" w:cs="Times New Roman"/>
                <w:lang w:eastAsia="nl-NL"/>
              </w:rPr>
              <w:t xml:space="preserve"> (770-2</w:t>
            </w:r>
            <w:r w:rsidR="00094ED8" w:rsidRPr="00921150">
              <w:rPr>
                <w:rFonts w:ascii="Calibri" w:eastAsia="Times New Roman" w:hAnsi="Calibri" w:cs="Times New Roman"/>
                <w:lang w:eastAsia="nl-NL"/>
              </w:rPr>
              <w:t>.</w:t>
            </w:r>
            <w:r w:rsidR="00392514" w:rsidRPr="00921150">
              <w:rPr>
                <w:rFonts w:ascii="Calibri" w:eastAsia="Times New Roman" w:hAnsi="Calibri" w:cs="Times New Roman"/>
                <w:lang w:eastAsia="nl-NL"/>
              </w:rPr>
              <w:t>700)</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1</w:t>
            </w:r>
            <w:r w:rsidR="00094ED8" w:rsidRPr="00921150">
              <w:rPr>
                <w:rFonts w:ascii="Calibri" w:eastAsia="Times New Roman" w:hAnsi="Calibri" w:cs="Times New Roman"/>
                <w:lang w:eastAsia="nl-NL"/>
              </w:rPr>
              <w:t>.</w:t>
            </w:r>
            <w:r w:rsidRPr="00921150">
              <w:rPr>
                <w:rFonts w:ascii="Calibri" w:eastAsia="Times New Roman" w:hAnsi="Calibri" w:cs="Times New Roman"/>
                <w:lang w:eastAsia="nl-NL"/>
              </w:rPr>
              <w:t>240</w:t>
            </w:r>
            <w:r w:rsidR="008D3FBB" w:rsidRPr="00921150">
              <w:rPr>
                <w:rFonts w:ascii="Calibri" w:eastAsia="Times New Roman" w:hAnsi="Calibri" w:cs="Times New Roman"/>
                <w:lang w:eastAsia="nl-NL"/>
              </w:rPr>
              <w:t xml:space="preserve"> (250-2</w:t>
            </w:r>
            <w:r w:rsidR="00094ED8" w:rsidRPr="00921150">
              <w:rPr>
                <w:rFonts w:ascii="Calibri" w:eastAsia="Times New Roman" w:hAnsi="Calibri" w:cs="Times New Roman"/>
                <w:lang w:eastAsia="nl-NL"/>
              </w:rPr>
              <w:t>.</w:t>
            </w:r>
            <w:r w:rsidR="008D3FBB" w:rsidRPr="00921150">
              <w:rPr>
                <w:rFonts w:ascii="Calibri" w:eastAsia="Times New Roman" w:hAnsi="Calibri" w:cs="Times New Roman"/>
                <w:lang w:eastAsia="nl-NL"/>
              </w:rPr>
              <w:t>660)</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1</w:t>
            </w:r>
            <w:r w:rsidR="00094ED8" w:rsidRPr="00921150">
              <w:rPr>
                <w:rFonts w:ascii="Calibri" w:eastAsia="Times New Roman" w:hAnsi="Calibri" w:cs="Times New Roman"/>
                <w:lang w:eastAsia="nl-NL"/>
              </w:rPr>
              <w:t>.</w:t>
            </w:r>
            <w:r w:rsidRPr="00921150">
              <w:rPr>
                <w:rFonts w:ascii="Calibri" w:eastAsia="Times New Roman" w:hAnsi="Calibri" w:cs="Times New Roman"/>
                <w:lang w:eastAsia="nl-NL"/>
              </w:rPr>
              <w:t>200</w:t>
            </w:r>
            <w:r w:rsidR="00066EB5" w:rsidRPr="00921150">
              <w:rPr>
                <w:rFonts w:ascii="Calibri" w:eastAsia="Times New Roman" w:hAnsi="Calibri" w:cs="Times New Roman"/>
                <w:lang w:eastAsia="nl-NL"/>
              </w:rPr>
              <w:t xml:space="preserve"> (640-1</w:t>
            </w:r>
            <w:r w:rsidR="00094ED8" w:rsidRPr="00921150">
              <w:rPr>
                <w:rFonts w:ascii="Calibri" w:eastAsia="Times New Roman" w:hAnsi="Calibri" w:cs="Times New Roman"/>
                <w:lang w:eastAsia="nl-NL"/>
              </w:rPr>
              <w:t>.</w:t>
            </w:r>
            <w:r w:rsidR="00066EB5" w:rsidRPr="00921150">
              <w:rPr>
                <w:rFonts w:ascii="Calibri" w:eastAsia="Times New Roman" w:hAnsi="Calibri" w:cs="Times New Roman"/>
                <w:lang w:eastAsia="nl-NL"/>
              </w:rPr>
              <w:t>980)</w:t>
            </w:r>
          </w:p>
        </w:tc>
      </w:tr>
      <w:tr w:rsidR="00BF5799" w:rsidRPr="00921150" w:rsidTr="00921150">
        <w:trPr>
          <w:trHeight w:val="300"/>
        </w:trPr>
        <w:tc>
          <w:tcPr>
            <w:tcW w:w="538" w:type="pct"/>
            <w:tcBorders>
              <w:right w:val="single" w:sz="6" w:space="0" w:color="000000"/>
            </w:tcBorders>
            <w:shd w:val="clear" w:color="auto" w:fill="auto"/>
            <w:noWrap/>
            <w:vAlign w:val="bottom"/>
            <w:hideMark/>
          </w:tcPr>
          <w:p w:rsidR="00BF5799" w:rsidRPr="00921150" w:rsidRDefault="00BF5799" w:rsidP="00921150">
            <w:pPr>
              <w:spacing w:after="0" w:line="240" w:lineRule="auto"/>
              <w:rPr>
                <w:rFonts w:ascii="Calibri" w:eastAsia="Times New Roman" w:hAnsi="Calibri" w:cs="Times New Roman"/>
                <w:lang w:eastAsia="nl-NL"/>
              </w:rPr>
            </w:pPr>
            <w:r w:rsidRPr="00921150">
              <w:rPr>
                <w:rFonts w:ascii="Calibri" w:eastAsia="Times New Roman" w:hAnsi="Calibri" w:cs="Times New Roman"/>
                <w:lang w:eastAsia="nl-NL"/>
              </w:rPr>
              <w:t>Fe</w:t>
            </w:r>
          </w:p>
        </w:tc>
        <w:tc>
          <w:tcPr>
            <w:tcW w:w="1115" w:type="pct"/>
            <w:tcBorders>
              <w:left w:val="single" w:sz="6" w:space="0" w:color="000000"/>
            </w:tcBorders>
            <w:shd w:val="clear" w:color="auto" w:fill="auto"/>
            <w:noWrap/>
            <w:vAlign w:val="bottom"/>
            <w:hideMark/>
          </w:tcPr>
          <w:p w:rsidR="00BF5799" w:rsidRPr="00921150" w:rsidRDefault="00BF5799" w:rsidP="00921150">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39</w:t>
            </w:r>
            <w:r w:rsidR="00466D2C" w:rsidRPr="00921150">
              <w:rPr>
                <w:rFonts w:ascii="Calibri" w:eastAsia="Times New Roman" w:hAnsi="Calibri" w:cs="Times New Roman"/>
                <w:lang w:eastAsia="nl-NL"/>
              </w:rPr>
              <w:t xml:space="preserve"> (9-78)</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18</w:t>
            </w:r>
            <w:r w:rsidR="00392514" w:rsidRPr="00921150">
              <w:rPr>
                <w:rFonts w:ascii="Calibri" w:eastAsia="Times New Roman" w:hAnsi="Calibri" w:cs="Times New Roman"/>
                <w:lang w:eastAsia="nl-NL"/>
              </w:rPr>
              <w:t xml:space="preserve"> (6-90)</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12</w:t>
            </w:r>
            <w:r w:rsidR="008D3FBB" w:rsidRPr="00921150">
              <w:rPr>
                <w:rFonts w:ascii="Calibri" w:eastAsia="Times New Roman" w:hAnsi="Calibri" w:cs="Times New Roman"/>
                <w:lang w:eastAsia="nl-NL"/>
              </w:rPr>
              <w:t xml:space="preserve"> (4-46)</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10</w:t>
            </w:r>
            <w:r w:rsidR="00066EB5" w:rsidRPr="00921150">
              <w:rPr>
                <w:rFonts w:ascii="Calibri" w:eastAsia="Times New Roman" w:hAnsi="Calibri" w:cs="Times New Roman"/>
                <w:lang w:eastAsia="nl-NL"/>
              </w:rPr>
              <w:t xml:space="preserve"> (5-21)</w:t>
            </w:r>
          </w:p>
        </w:tc>
      </w:tr>
      <w:tr w:rsidR="00BF5799" w:rsidRPr="00921150" w:rsidTr="00921150">
        <w:trPr>
          <w:trHeight w:val="300"/>
        </w:trPr>
        <w:tc>
          <w:tcPr>
            <w:tcW w:w="538" w:type="pct"/>
            <w:tcBorders>
              <w:right w:val="single" w:sz="6" w:space="0" w:color="000000"/>
            </w:tcBorders>
            <w:shd w:val="clear" w:color="auto" w:fill="auto"/>
            <w:noWrap/>
            <w:vAlign w:val="bottom"/>
            <w:hideMark/>
          </w:tcPr>
          <w:p w:rsidR="00BF5799" w:rsidRPr="00921150" w:rsidRDefault="00BF5799" w:rsidP="00921150">
            <w:pPr>
              <w:spacing w:after="0" w:line="240" w:lineRule="auto"/>
              <w:rPr>
                <w:rFonts w:ascii="Calibri" w:eastAsia="Times New Roman" w:hAnsi="Calibri" w:cs="Times New Roman"/>
                <w:lang w:eastAsia="nl-NL"/>
              </w:rPr>
            </w:pPr>
            <w:r w:rsidRPr="00921150">
              <w:rPr>
                <w:rFonts w:ascii="Calibri" w:eastAsia="Times New Roman" w:hAnsi="Calibri" w:cs="Times New Roman"/>
                <w:lang w:eastAsia="nl-NL"/>
              </w:rPr>
              <w:t>Mn</w:t>
            </w:r>
          </w:p>
        </w:tc>
        <w:tc>
          <w:tcPr>
            <w:tcW w:w="1115" w:type="pct"/>
            <w:tcBorders>
              <w:left w:val="single" w:sz="6" w:space="0" w:color="000000"/>
            </w:tcBorders>
            <w:shd w:val="clear" w:color="auto" w:fill="auto"/>
            <w:noWrap/>
            <w:vAlign w:val="bottom"/>
            <w:hideMark/>
          </w:tcPr>
          <w:p w:rsidR="00BF5799" w:rsidRPr="00921150" w:rsidRDefault="00BF5799" w:rsidP="00921150">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2,8</w:t>
            </w:r>
            <w:r w:rsidR="00466D2C" w:rsidRPr="00921150">
              <w:rPr>
                <w:rFonts w:ascii="Calibri" w:eastAsia="Times New Roman" w:hAnsi="Calibri" w:cs="Times New Roman"/>
                <w:lang w:eastAsia="nl-NL"/>
              </w:rPr>
              <w:t xml:space="preserve"> (1,1-5,9)</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7</w:t>
            </w:r>
            <w:r w:rsidR="00392514" w:rsidRPr="00921150">
              <w:rPr>
                <w:rFonts w:ascii="Calibri" w:eastAsia="Times New Roman" w:hAnsi="Calibri" w:cs="Times New Roman"/>
                <w:lang w:eastAsia="nl-NL"/>
              </w:rPr>
              <w:t xml:space="preserve"> (1,0-59)</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12</w:t>
            </w:r>
            <w:r w:rsidR="008D3FBB" w:rsidRPr="00921150">
              <w:rPr>
                <w:rFonts w:ascii="Calibri" w:eastAsia="Times New Roman" w:hAnsi="Calibri" w:cs="Times New Roman"/>
                <w:lang w:eastAsia="nl-NL"/>
              </w:rPr>
              <w:t xml:space="preserve"> (0,7-110)</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6</w:t>
            </w:r>
            <w:r w:rsidR="00066EB5" w:rsidRPr="00921150">
              <w:rPr>
                <w:rFonts w:ascii="Calibri" w:eastAsia="Times New Roman" w:hAnsi="Calibri" w:cs="Times New Roman"/>
                <w:lang w:eastAsia="nl-NL"/>
              </w:rPr>
              <w:t xml:space="preserve"> (0,8-43)</w:t>
            </w:r>
          </w:p>
        </w:tc>
      </w:tr>
      <w:tr w:rsidR="00BF5799" w:rsidRPr="00921150" w:rsidTr="00921150">
        <w:trPr>
          <w:trHeight w:val="300"/>
        </w:trPr>
        <w:tc>
          <w:tcPr>
            <w:tcW w:w="538" w:type="pct"/>
            <w:tcBorders>
              <w:right w:val="single" w:sz="6" w:space="0" w:color="000000"/>
            </w:tcBorders>
            <w:shd w:val="clear" w:color="auto" w:fill="auto"/>
            <w:noWrap/>
            <w:vAlign w:val="bottom"/>
            <w:hideMark/>
          </w:tcPr>
          <w:p w:rsidR="00BF5799" w:rsidRPr="00921150" w:rsidRDefault="00BF5799" w:rsidP="00921150">
            <w:pPr>
              <w:spacing w:after="0" w:line="240" w:lineRule="auto"/>
              <w:rPr>
                <w:rFonts w:ascii="Calibri" w:eastAsia="Times New Roman" w:hAnsi="Calibri" w:cs="Times New Roman"/>
                <w:lang w:eastAsia="nl-NL"/>
              </w:rPr>
            </w:pPr>
            <w:r w:rsidRPr="00921150">
              <w:rPr>
                <w:rFonts w:ascii="Calibri" w:eastAsia="Times New Roman" w:hAnsi="Calibri" w:cs="Times New Roman"/>
                <w:lang w:eastAsia="nl-NL"/>
              </w:rPr>
              <w:t>Zn</w:t>
            </w:r>
          </w:p>
        </w:tc>
        <w:tc>
          <w:tcPr>
            <w:tcW w:w="1115" w:type="pct"/>
            <w:tcBorders>
              <w:left w:val="single" w:sz="6" w:space="0" w:color="000000"/>
            </w:tcBorders>
            <w:shd w:val="clear" w:color="auto" w:fill="auto"/>
            <w:noWrap/>
            <w:vAlign w:val="bottom"/>
            <w:hideMark/>
          </w:tcPr>
          <w:p w:rsidR="00BF5799" w:rsidRPr="00921150" w:rsidRDefault="00BF5799" w:rsidP="00921150">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6</w:t>
            </w:r>
            <w:r w:rsidR="00466D2C" w:rsidRPr="00921150">
              <w:rPr>
                <w:rFonts w:ascii="Calibri" w:eastAsia="Times New Roman" w:hAnsi="Calibri" w:cs="Times New Roman"/>
                <w:lang w:eastAsia="nl-NL"/>
              </w:rPr>
              <w:t xml:space="preserve"> (</w:t>
            </w:r>
            <w:r w:rsidR="00392514" w:rsidRPr="00921150">
              <w:rPr>
                <w:rFonts w:ascii="Calibri" w:eastAsia="Times New Roman" w:hAnsi="Calibri" w:cs="Times New Roman"/>
                <w:lang w:eastAsia="nl-NL"/>
              </w:rPr>
              <w:t>4</w:t>
            </w:r>
            <w:r w:rsidR="00466D2C" w:rsidRPr="00921150">
              <w:rPr>
                <w:rFonts w:ascii="Calibri" w:eastAsia="Times New Roman" w:hAnsi="Calibri" w:cs="Times New Roman"/>
                <w:lang w:eastAsia="nl-NL"/>
              </w:rPr>
              <w:t>-</w:t>
            </w:r>
            <w:r w:rsidR="00392514" w:rsidRPr="00921150">
              <w:rPr>
                <w:rFonts w:ascii="Calibri" w:eastAsia="Times New Roman" w:hAnsi="Calibri" w:cs="Times New Roman"/>
                <w:lang w:eastAsia="nl-NL"/>
              </w:rPr>
              <w:t>10</w:t>
            </w:r>
            <w:r w:rsidR="00466D2C" w:rsidRPr="00921150">
              <w:rPr>
                <w:rFonts w:ascii="Calibri" w:eastAsia="Times New Roman" w:hAnsi="Calibri" w:cs="Times New Roman"/>
                <w:lang w:eastAsia="nl-NL"/>
              </w:rPr>
              <w:t>)</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10</w:t>
            </w:r>
            <w:r w:rsidR="00392514" w:rsidRPr="00921150">
              <w:rPr>
                <w:rFonts w:ascii="Calibri" w:eastAsia="Times New Roman" w:hAnsi="Calibri" w:cs="Times New Roman"/>
                <w:lang w:eastAsia="nl-NL"/>
              </w:rPr>
              <w:t xml:space="preserve"> (2-80)</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18</w:t>
            </w:r>
            <w:r w:rsidR="008D3FBB" w:rsidRPr="00921150">
              <w:rPr>
                <w:rFonts w:ascii="Calibri" w:eastAsia="Times New Roman" w:hAnsi="Calibri" w:cs="Times New Roman"/>
                <w:lang w:eastAsia="nl-NL"/>
              </w:rPr>
              <w:t xml:space="preserve"> (1-238)</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7</w:t>
            </w:r>
            <w:r w:rsidR="00066EB5" w:rsidRPr="00921150">
              <w:rPr>
                <w:rFonts w:ascii="Calibri" w:eastAsia="Times New Roman" w:hAnsi="Calibri" w:cs="Times New Roman"/>
                <w:lang w:eastAsia="nl-NL"/>
              </w:rPr>
              <w:t xml:space="preserve"> (2,4-31)</w:t>
            </w:r>
          </w:p>
        </w:tc>
      </w:tr>
      <w:tr w:rsidR="00BF5799" w:rsidRPr="00921150" w:rsidTr="00921150">
        <w:trPr>
          <w:trHeight w:val="300"/>
        </w:trPr>
        <w:tc>
          <w:tcPr>
            <w:tcW w:w="538" w:type="pct"/>
            <w:tcBorders>
              <w:right w:val="single" w:sz="6" w:space="0" w:color="000000"/>
            </w:tcBorders>
            <w:shd w:val="clear" w:color="auto" w:fill="auto"/>
            <w:noWrap/>
            <w:vAlign w:val="bottom"/>
            <w:hideMark/>
          </w:tcPr>
          <w:p w:rsidR="00BF5799" w:rsidRPr="00921150" w:rsidRDefault="00BF5799" w:rsidP="00921150">
            <w:pPr>
              <w:spacing w:after="0" w:line="240" w:lineRule="auto"/>
              <w:rPr>
                <w:rFonts w:ascii="Calibri" w:eastAsia="Times New Roman" w:hAnsi="Calibri" w:cs="Times New Roman"/>
                <w:lang w:eastAsia="nl-NL"/>
              </w:rPr>
            </w:pPr>
            <w:r w:rsidRPr="00921150">
              <w:rPr>
                <w:rFonts w:ascii="Calibri" w:eastAsia="Times New Roman" w:hAnsi="Calibri" w:cs="Times New Roman"/>
                <w:lang w:eastAsia="nl-NL"/>
              </w:rPr>
              <w:t>Cu</w:t>
            </w:r>
          </w:p>
        </w:tc>
        <w:tc>
          <w:tcPr>
            <w:tcW w:w="1115" w:type="pct"/>
            <w:tcBorders>
              <w:left w:val="single" w:sz="6" w:space="0" w:color="000000"/>
            </w:tcBorders>
            <w:shd w:val="clear" w:color="auto" w:fill="auto"/>
            <w:noWrap/>
            <w:vAlign w:val="bottom"/>
            <w:hideMark/>
          </w:tcPr>
          <w:p w:rsidR="00BF5799" w:rsidRPr="00921150" w:rsidRDefault="00BF5799" w:rsidP="00921150">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1,1</w:t>
            </w:r>
            <w:r w:rsidR="00466D2C" w:rsidRPr="00921150">
              <w:rPr>
                <w:rFonts w:ascii="Calibri" w:eastAsia="Times New Roman" w:hAnsi="Calibri" w:cs="Times New Roman"/>
                <w:lang w:eastAsia="nl-NL"/>
              </w:rPr>
              <w:t xml:space="preserve"> (0,3-1,8)</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1,3</w:t>
            </w:r>
            <w:r w:rsidR="00BA0645" w:rsidRPr="00921150">
              <w:rPr>
                <w:rFonts w:ascii="Calibri" w:eastAsia="Times New Roman" w:hAnsi="Calibri" w:cs="Times New Roman"/>
                <w:lang w:eastAsia="nl-NL"/>
              </w:rPr>
              <w:t xml:space="preserve"> (0,3</w:t>
            </w:r>
            <w:r w:rsidR="00392514" w:rsidRPr="00921150">
              <w:rPr>
                <w:rFonts w:ascii="Calibri" w:eastAsia="Times New Roman" w:hAnsi="Calibri" w:cs="Times New Roman"/>
                <w:lang w:eastAsia="nl-NL"/>
              </w:rPr>
              <w:t>-9,4)</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1,0</w:t>
            </w:r>
            <w:r w:rsidR="008D3FBB" w:rsidRPr="00921150">
              <w:rPr>
                <w:rFonts w:ascii="Calibri" w:eastAsia="Times New Roman" w:hAnsi="Calibri" w:cs="Times New Roman"/>
                <w:lang w:eastAsia="nl-NL"/>
              </w:rPr>
              <w:t xml:space="preserve"> (0,1-2,4)</w:t>
            </w:r>
          </w:p>
        </w:tc>
        <w:tc>
          <w:tcPr>
            <w:tcW w:w="1115" w:type="pct"/>
            <w:shd w:val="clear" w:color="auto" w:fill="auto"/>
            <w:noWrap/>
            <w:vAlign w:val="bottom"/>
            <w:hideMark/>
          </w:tcPr>
          <w:p w:rsidR="00BF5799" w:rsidRPr="00921150" w:rsidRDefault="00BF5799" w:rsidP="00B64416">
            <w:pPr>
              <w:spacing w:after="0" w:line="240" w:lineRule="auto"/>
              <w:jc w:val="center"/>
              <w:rPr>
                <w:rFonts w:ascii="Calibri" w:eastAsia="Times New Roman" w:hAnsi="Calibri" w:cs="Times New Roman"/>
                <w:lang w:eastAsia="nl-NL"/>
              </w:rPr>
            </w:pPr>
            <w:r w:rsidRPr="00921150">
              <w:rPr>
                <w:rFonts w:ascii="Calibri" w:eastAsia="Times New Roman" w:hAnsi="Calibri" w:cs="Times New Roman"/>
                <w:lang w:eastAsia="nl-NL"/>
              </w:rPr>
              <w:t>0,8</w:t>
            </w:r>
            <w:r w:rsidR="00066EB5" w:rsidRPr="00921150">
              <w:rPr>
                <w:rFonts w:ascii="Calibri" w:eastAsia="Times New Roman" w:hAnsi="Calibri" w:cs="Times New Roman"/>
                <w:lang w:eastAsia="nl-NL"/>
              </w:rPr>
              <w:t xml:space="preserve"> (0,05-1,5)</w:t>
            </w:r>
          </w:p>
        </w:tc>
      </w:tr>
    </w:tbl>
    <w:p w:rsidR="00BF5799" w:rsidRDefault="00BF5799" w:rsidP="00BF5799"/>
    <w:p w:rsidR="000F3312" w:rsidRDefault="000F3312" w:rsidP="001A2D5D">
      <w:pPr>
        <w:spacing w:after="0"/>
      </w:pPr>
      <w:r>
        <w:t xml:space="preserve">Alle gemiddelde waarden vallen binnen de in </w:t>
      </w:r>
      <w:r w:rsidR="00094ED8">
        <w:t xml:space="preserve">de </w:t>
      </w:r>
      <w:r>
        <w:t>tabel genoemde ra</w:t>
      </w:r>
      <w:r w:rsidR="00094ED8">
        <w:t>n</w:t>
      </w:r>
      <w:r>
        <w:t>ge waarbinnen geen gebrek te verwachten is.</w:t>
      </w:r>
    </w:p>
    <w:p w:rsidR="004C2C12" w:rsidRDefault="004C2C12" w:rsidP="001A2D5D">
      <w:pPr>
        <w:spacing w:after="0"/>
      </w:pPr>
      <w:r>
        <w:t xml:space="preserve">In </w:t>
      </w:r>
      <w:r w:rsidR="00D575E9">
        <w:t>de periode tot het sluiten van het gewas</w:t>
      </w:r>
      <w:r>
        <w:t xml:space="preserve"> waren er alleen voor borium</w:t>
      </w:r>
      <w:r w:rsidR="00BA0645">
        <w:t>,</w:t>
      </w:r>
      <w:r>
        <w:t xml:space="preserve"> mangaan</w:t>
      </w:r>
      <w:r w:rsidR="00BA0645">
        <w:t xml:space="preserve"> en kali</w:t>
      </w:r>
      <w:r>
        <w:t xml:space="preserve"> gehalten waarbij men gebreksverschijnselen kon verwachten op basis van de normen in tabel 1. Boriumgebrek in zo’n vroeg stadium is echter nooit zichtbaar. Mangaangebrek wel. In </w:t>
      </w:r>
      <w:r w:rsidR="00D575E9">
        <w:t>zes</w:t>
      </w:r>
      <w:r>
        <w:t xml:space="preserve"> gevallen was het mangaangehalte laag, </w:t>
      </w:r>
      <w:r w:rsidR="005C151F">
        <w:t>tussen</w:t>
      </w:r>
      <w:r>
        <w:t xml:space="preserve"> 1,0</w:t>
      </w:r>
      <w:r w:rsidR="005C151F">
        <w:t xml:space="preserve"> en</w:t>
      </w:r>
      <w:r w:rsidR="00D575E9">
        <w:t xml:space="preserve"> 1,9</w:t>
      </w:r>
      <w:r>
        <w:t xml:space="preserve"> mg</w:t>
      </w:r>
      <w:r w:rsidR="008E01A8">
        <w:t xml:space="preserve"> per </w:t>
      </w:r>
      <w:r>
        <w:t xml:space="preserve">100 g droge stof. In </w:t>
      </w:r>
      <w:r w:rsidR="00D575E9">
        <w:t>al deze</w:t>
      </w:r>
      <w:r>
        <w:t xml:space="preserve"> gevallen waren mangaan</w:t>
      </w:r>
      <w:r w:rsidR="00D575E9">
        <w:t>gebreksverschijnselen zichtbaar, het meest uitgesproken bij gehalten &lt;1,5 mg</w:t>
      </w:r>
      <w:r w:rsidR="008E01A8">
        <w:t xml:space="preserve"> per </w:t>
      </w:r>
      <w:r w:rsidR="00D575E9">
        <w:t>100 g droge stof.</w:t>
      </w:r>
      <w:r w:rsidR="00BA0645">
        <w:t xml:space="preserve"> Er waren twee monsters (tegen het sluiten van het gewas) waarbij de kaligehalten laag waren, namelijk 870 en 1</w:t>
      </w:r>
      <w:r w:rsidR="00094ED8">
        <w:t>.</w:t>
      </w:r>
      <w:r w:rsidR="00BA0645">
        <w:t>340 mg</w:t>
      </w:r>
      <w:r w:rsidR="008E01A8">
        <w:t xml:space="preserve"> per </w:t>
      </w:r>
      <w:r w:rsidR="00BA0645">
        <w:t>100 g droge stof. In deze gevallen waren er ook kaligebreksverschijnselen zichtbaar. Op grond van de normen</w:t>
      </w:r>
      <w:r w:rsidR="001A2D5D">
        <w:t xml:space="preserve"> in tabel 1</w:t>
      </w:r>
      <w:r w:rsidR="00BA0645">
        <w:t xml:space="preserve"> zou men in één geval (1</w:t>
      </w:r>
      <w:r w:rsidR="008E01A8">
        <w:t>.</w:t>
      </w:r>
      <w:r w:rsidR="00BA0645">
        <w:t>340 mg/100 g ds) geen kaligebrek verwacht hebben.</w:t>
      </w:r>
    </w:p>
    <w:p w:rsidR="001A2D5D" w:rsidRDefault="007B3F01" w:rsidP="001A2D5D">
      <w:pPr>
        <w:spacing w:after="0"/>
      </w:pPr>
      <w:r>
        <w:t>In de periode juli tot de oogst van de bieten waren er bietenmonsters met gebrek</w:t>
      </w:r>
      <w:r w:rsidR="008E01A8">
        <w:t>s</w:t>
      </w:r>
      <w:r>
        <w:t>symptomen van kalium</w:t>
      </w:r>
      <w:r w:rsidR="001A2D5D">
        <w:t xml:space="preserve"> (11)</w:t>
      </w:r>
      <w:r>
        <w:t>, magnesium</w:t>
      </w:r>
      <w:r w:rsidR="001A2D5D">
        <w:t xml:space="preserve"> (5)</w:t>
      </w:r>
      <w:r>
        <w:t>, borium</w:t>
      </w:r>
      <w:r w:rsidR="001A2D5D">
        <w:t xml:space="preserve"> (9)</w:t>
      </w:r>
      <w:r>
        <w:t xml:space="preserve"> en mangaan</w:t>
      </w:r>
      <w:r w:rsidR="001A2D5D">
        <w:t xml:space="preserve"> (6)</w:t>
      </w:r>
      <w:r>
        <w:t xml:space="preserve">. </w:t>
      </w:r>
    </w:p>
    <w:p w:rsidR="00BC355B" w:rsidRDefault="007B3F01" w:rsidP="001A2D5D">
      <w:pPr>
        <w:spacing w:after="0"/>
      </w:pPr>
      <w:r>
        <w:t>De gehalten bij kaligebrek lagen tussen 700 en 1</w:t>
      </w:r>
      <w:r w:rsidR="008E01A8">
        <w:t>.</w:t>
      </w:r>
      <w:r>
        <w:t>440 mg</w:t>
      </w:r>
      <w:r w:rsidR="008E01A8">
        <w:t xml:space="preserve"> per </w:t>
      </w:r>
      <w:r>
        <w:t>100 g droge stof en waren dus hoger dan de range waarbinnen gebrek te verwachten was (300-600 mg/100 g droge stof)</w:t>
      </w:r>
      <w:r w:rsidR="001A2D5D">
        <w:t>.</w:t>
      </w:r>
    </w:p>
    <w:p w:rsidR="001A2D5D" w:rsidRDefault="001A2D5D" w:rsidP="001A2D5D">
      <w:pPr>
        <w:spacing w:after="0"/>
      </w:pPr>
      <w:r>
        <w:t>Magnesiumgebreksverschijnselen zijn waargenomen bij magnesiumgehalten tussen 80 en 260 mg</w:t>
      </w:r>
      <w:r w:rsidR="008E01A8">
        <w:t xml:space="preserve"> per </w:t>
      </w:r>
      <w:r>
        <w:t>100 g droge stof. De gehalten waren dus hoger dan op grond van in tabel 1 genoemde range was verwacht.</w:t>
      </w:r>
    </w:p>
    <w:p w:rsidR="001A2D5D" w:rsidRDefault="001A2D5D" w:rsidP="001A2D5D">
      <w:pPr>
        <w:spacing w:after="0"/>
      </w:pPr>
      <w:r>
        <w:t>De mangaangehalten bij gebrekssymptomen lagen tussen 0,7 en 1,3, dus allen binnen de range genoemd in tabel 1.</w:t>
      </w:r>
    </w:p>
    <w:p w:rsidR="001A2D5D" w:rsidRDefault="001A2D5D" w:rsidP="001A2D5D">
      <w:pPr>
        <w:spacing w:after="0"/>
      </w:pPr>
      <w:r>
        <w:lastRenderedPageBreak/>
        <w:t xml:space="preserve">De boriumgehalten van de jongst volgroeide bladeren lagen bij gebrekssymptomen tussen </w:t>
      </w:r>
      <w:r w:rsidR="005542C8">
        <w:t>1,4 en 3,2, wat past bij de norm gesteld voor borium in tabel 1 (1,2 – 4,0).</w:t>
      </w:r>
    </w:p>
    <w:p w:rsidR="005C151F" w:rsidRDefault="005C151F" w:rsidP="001A2D5D">
      <w:pPr>
        <w:spacing w:after="0"/>
      </w:pPr>
    </w:p>
    <w:p w:rsidR="005C151F" w:rsidRPr="00ED4702" w:rsidRDefault="005C151F" w:rsidP="001A2D5D">
      <w:pPr>
        <w:spacing w:after="0"/>
        <w:rPr>
          <w:b/>
        </w:rPr>
      </w:pPr>
      <w:r w:rsidRPr="00ED4702">
        <w:rPr>
          <w:b/>
        </w:rPr>
        <w:t>Conclusies</w:t>
      </w:r>
    </w:p>
    <w:p w:rsidR="005C151F" w:rsidRDefault="005C151F" w:rsidP="001A2D5D">
      <w:pPr>
        <w:spacing w:after="0"/>
      </w:pPr>
    </w:p>
    <w:p w:rsidR="005C151F" w:rsidRDefault="005C151F" w:rsidP="005C151F">
      <w:pPr>
        <w:pStyle w:val="Lijstalinea"/>
        <w:numPr>
          <w:ilvl w:val="0"/>
          <w:numId w:val="1"/>
        </w:numPr>
        <w:spacing w:after="0"/>
        <w:ind w:left="426" w:hanging="426"/>
      </w:pPr>
      <w:r>
        <w:t>De bij bieten meest voorkomende zichtbare nut</w:t>
      </w:r>
      <w:r w:rsidR="00717D5C">
        <w:t>r</w:t>
      </w:r>
      <w:r>
        <w:t>iëntengebreken zijn kali</w:t>
      </w:r>
      <w:r w:rsidR="00717D5C">
        <w:t>-</w:t>
      </w:r>
      <w:r>
        <w:t>, magnesium</w:t>
      </w:r>
      <w:r w:rsidR="00717D5C">
        <w:t>-</w:t>
      </w:r>
      <w:r>
        <w:t>, mangaan- en boriumgebrek. Deze gebreken traden op bij de volgende gehalten:</w:t>
      </w:r>
    </w:p>
    <w:p w:rsidR="005C151F" w:rsidRDefault="005C151F" w:rsidP="00717D5C">
      <w:pPr>
        <w:pStyle w:val="Lijstalinea"/>
        <w:numPr>
          <w:ilvl w:val="0"/>
          <w:numId w:val="4"/>
        </w:numPr>
        <w:spacing w:after="0"/>
        <w:ind w:hanging="786"/>
      </w:pPr>
      <w:r>
        <w:t xml:space="preserve">Kali: </w:t>
      </w:r>
      <w:r>
        <w:tab/>
      </w:r>
      <w:r>
        <w:tab/>
        <w:t>&lt; 1</w:t>
      </w:r>
      <w:r w:rsidR="008E01A8">
        <w:t>.</w:t>
      </w:r>
      <w:r>
        <w:t>440 mg/100 g droge stof</w:t>
      </w:r>
    </w:p>
    <w:p w:rsidR="005C151F" w:rsidRDefault="005C151F" w:rsidP="00717D5C">
      <w:pPr>
        <w:pStyle w:val="Lijstalinea"/>
        <w:numPr>
          <w:ilvl w:val="0"/>
          <w:numId w:val="4"/>
        </w:numPr>
        <w:spacing w:after="0"/>
        <w:ind w:hanging="786"/>
      </w:pPr>
      <w:r>
        <w:t>Magnesium:</w:t>
      </w:r>
      <w:r>
        <w:tab/>
        <w:t>&lt; 260 mg/100 g droge stof</w:t>
      </w:r>
    </w:p>
    <w:p w:rsidR="005C151F" w:rsidRDefault="005C151F" w:rsidP="00717D5C">
      <w:pPr>
        <w:pStyle w:val="Lijstalinea"/>
        <w:numPr>
          <w:ilvl w:val="0"/>
          <w:numId w:val="4"/>
        </w:numPr>
        <w:spacing w:after="0"/>
        <w:ind w:hanging="786"/>
      </w:pPr>
      <w:r>
        <w:t>Mangaan:</w:t>
      </w:r>
      <w:r>
        <w:tab/>
        <w:t>&lt; 1,9 mg/100 g droge stof</w:t>
      </w:r>
    </w:p>
    <w:p w:rsidR="005C151F" w:rsidRDefault="005C151F" w:rsidP="00717D5C">
      <w:pPr>
        <w:pStyle w:val="Lijstalinea"/>
        <w:numPr>
          <w:ilvl w:val="0"/>
          <w:numId w:val="4"/>
        </w:numPr>
        <w:spacing w:after="0"/>
        <w:ind w:hanging="786"/>
      </w:pPr>
      <w:r>
        <w:t xml:space="preserve">Borium: </w:t>
      </w:r>
      <w:r>
        <w:tab/>
        <w:t>&lt; 3,2 mg/100 g droge stof</w:t>
      </w:r>
    </w:p>
    <w:p w:rsidR="005C151F" w:rsidRDefault="005C151F" w:rsidP="005C151F">
      <w:pPr>
        <w:spacing w:after="0"/>
      </w:pPr>
    </w:p>
    <w:p w:rsidR="00717D5C" w:rsidRDefault="00717D5C" w:rsidP="00717D5C">
      <w:pPr>
        <w:pStyle w:val="Lijstalinea"/>
        <w:numPr>
          <w:ilvl w:val="0"/>
          <w:numId w:val="3"/>
        </w:numPr>
        <w:spacing w:after="0"/>
        <w:ind w:left="426" w:hanging="426"/>
      </w:pPr>
      <w:r>
        <w:t>De in de literatuur genoemde range waarbinnen men gebrek kan verwachten lijkt voor borium en mangaan goed te kloppen. Voor kali en magnesium is de aangegeven bovenkant van de</w:t>
      </w:r>
      <w:r w:rsidR="001B1586">
        <w:t>ze</w:t>
      </w:r>
      <w:r>
        <w:t xml:space="preserve"> range te laag.</w:t>
      </w:r>
    </w:p>
    <w:p w:rsidR="005134FF" w:rsidRDefault="005134FF" w:rsidP="005134FF">
      <w:pPr>
        <w:spacing w:after="0"/>
      </w:pPr>
    </w:p>
    <w:p w:rsidR="005134FF" w:rsidRDefault="005134FF" w:rsidP="005134FF">
      <w:pPr>
        <w:spacing w:after="0"/>
      </w:pPr>
      <w:r>
        <w:t>Peter Wilting</w:t>
      </w:r>
    </w:p>
    <w:p w:rsidR="005134FF" w:rsidRDefault="005134FF" w:rsidP="005134FF">
      <w:pPr>
        <w:spacing w:after="0"/>
      </w:pPr>
      <w:r>
        <w:t>mei 2016</w:t>
      </w:r>
    </w:p>
    <w:p w:rsidR="001B1586" w:rsidRDefault="001B1586" w:rsidP="005134FF">
      <w:pPr>
        <w:spacing w:after="0"/>
      </w:pPr>
    </w:p>
    <w:p w:rsidR="001B1586" w:rsidRPr="00F77CD3" w:rsidRDefault="001B1586" w:rsidP="005134FF">
      <w:pPr>
        <w:spacing w:after="0"/>
      </w:pPr>
    </w:p>
    <w:sectPr w:rsidR="001B1586" w:rsidRPr="00F77CD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2C5" w:rsidRDefault="002122C5" w:rsidP="00F77CD3">
      <w:pPr>
        <w:spacing w:after="0" w:line="240" w:lineRule="auto"/>
      </w:pPr>
      <w:r>
        <w:separator/>
      </w:r>
    </w:p>
  </w:endnote>
  <w:endnote w:type="continuationSeparator" w:id="0">
    <w:p w:rsidR="002122C5" w:rsidRDefault="002122C5" w:rsidP="00F77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683029"/>
      <w:docPartObj>
        <w:docPartGallery w:val="Page Numbers (Bottom of Page)"/>
        <w:docPartUnique/>
      </w:docPartObj>
    </w:sdtPr>
    <w:sdtEndPr/>
    <w:sdtContent>
      <w:p w:rsidR="000F2F37" w:rsidRDefault="000F2F37">
        <w:pPr>
          <w:pStyle w:val="Voettekst"/>
          <w:jc w:val="right"/>
        </w:pPr>
        <w:r>
          <w:fldChar w:fldCharType="begin"/>
        </w:r>
        <w:r>
          <w:instrText>PAGE   \* MERGEFORMAT</w:instrText>
        </w:r>
        <w:r>
          <w:fldChar w:fldCharType="separate"/>
        </w:r>
        <w:r w:rsidR="001C6F3B">
          <w:rPr>
            <w:noProof/>
          </w:rPr>
          <w:t>3</w:t>
        </w:r>
        <w:r>
          <w:fldChar w:fldCharType="end"/>
        </w:r>
      </w:p>
    </w:sdtContent>
  </w:sdt>
  <w:p w:rsidR="000F2F37" w:rsidRDefault="000F2F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2C5" w:rsidRDefault="002122C5" w:rsidP="00F77CD3">
      <w:pPr>
        <w:spacing w:after="0" w:line="240" w:lineRule="auto"/>
      </w:pPr>
      <w:r>
        <w:separator/>
      </w:r>
    </w:p>
  </w:footnote>
  <w:footnote w:type="continuationSeparator" w:id="0">
    <w:p w:rsidR="002122C5" w:rsidRDefault="002122C5" w:rsidP="00F77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B05" w:rsidRDefault="00361B05" w:rsidP="00DE01A4">
    <w:pPr>
      <w:pStyle w:val="Koptekst"/>
      <w:jc w:val="center"/>
    </w:pPr>
    <w:r>
      <w:rPr>
        <w:noProof/>
        <w:lang w:eastAsia="nl-NL"/>
      </w:rPr>
      <w:drawing>
        <wp:inline distT="0" distB="0" distL="0" distR="0" wp14:anchorId="0777049F" wp14:editId="7BF8EFFF">
          <wp:extent cx="1351129" cy="710625"/>
          <wp:effectExtent l="0" t="0" r="190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S 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34" cy="711364"/>
                  </a:xfrm>
                  <a:prstGeom prst="rect">
                    <a:avLst/>
                  </a:prstGeom>
                </pic:spPr>
              </pic:pic>
            </a:graphicData>
          </a:graphic>
        </wp:inline>
      </w:drawing>
    </w:r>
  </w:p>
  <w:p w:rsidR="00361B05" w:rsidRDefault="00361B05" w:rsidP="00DE01A4">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A39E0"/>
    <w:multiLevelType w:val="hybridMultilevel"/>
    <w:tmpl w:val="7E24A3FA"/>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 w15:restartNumberingAfterBreak="0">
    <w:nsid w:val="21131AC0"/>
    <w:multiLevelType w:val="hybridMultilevel"/>
    <w:tmpl w:val="FB6CED1E"/>
    <w:lvl w:ilvl="0" w:tplc="FAC044D2">
      <w:numFmt w:val="bullet"/>
      <w:lvlText w:val="-"/>
      <w:lvlJc w:val="left"/>
      <w:pPr>
        <w:ind w:left="786" w:hanging="360"/>
      </w:pPr>
      <w:rPr>
        <w:rFonts w:ascii="Calibri" w:eastAsiaTheme="minorHAnsi" w:hAnsi="Calibri" w:cstheme="minorBidi"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 w15:restartNumberingAfterBreak="0">
    <w:nsid w:val="3BFA2D81"/>
    <w:multiLevelType w:val="hybridMultilevel"/>
    <w:tmpl w:val="D598D0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1774F9"/>
    <w:multiLevelType w:val="hybridMultilevel"/>
    <w:tmpl w:val="9C9C8C80"/>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55"/>
    <w:rsid w:val="00066EB5"/>
    <w:rsid w:val="00094ED8"/>
    <w:rsid w:val="000F2F37"/>
    <w:rsid w:val="000F3312"/>
    <w:rsid w:val="00104A55"/>
    <w:rsid w:val="001A2D5D"/>
    <w:rsid w:val="001B1586"/>
    <w:rsid w:val="001C6F3B"/>
    <w:rsid w:val="002122C5"/>
    <w:rsid w:val="00277A98"/>
    <w:rsid w:val="00361B05"/>
    <w:rsid w:val="00392514"/>
    <w:rsid w:val="00466D2C"/>
    <w:rsid w:val="004C2C12"/>
    <w:rsid w:val="005134FF"/>
    <w:rsid w:val="005542C8"/>
    <w:rsid w:val="005C151F"/>
    <w:rsid w:val="00646029"/>
    <w:rsid w:val="006B4B87"/>
    <w:rsid w:val="00717D5C"/>
    <w:rsid w:val="007241F5"/>
    <w:rsid w:val="00751966"/>
    <w:rsid w:val="007B3F01"/>
    <w:rsid w:val="0084457E"/>
    <w:rsid w:val="008D3FBB"/>
    <w:rsid w:val="008E01A8"/>
    <w:rsid w:val="00921150"/>
    <w:rsid w:val="00AD67A6"/>
    <w:rsid w:val="00B64416"/>
    <w:rsid w:val="00BA0645"/>
    <w:rsid w:val="00BA31F6"/>
    <w:rsid w:val="00BC355B"/>
    <w:rsid w:val="00BF5799"/>
    <w:rsid w:val="00C5192C"/>
    <w:rsid w:val="00CC5D7B"/>
    <w:rsid w:val="00CC6177"/>
    <w:rsid w:val="00D56B14"/>
    <w:rsid w:val="00D575E9"/>
    <w:rsid w:val="00D915CE"/>
    <w:rsid w:val="00DE01A4"/>
    <w:rsid w:val="00EC25B4"/>
    <w:rsid w:val="00ED4702"/>
    <w:rsid w:val="00F267BB"/>
    <w:rsid w:val="00F77CD3"/>
    <w:rsid w:val="00FA64F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F28714"/>
  <w15:docId w15:val="{27618BDF-2F45-4C72-BFB7-54B82027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7CD3"/>
    <w:pPr>
      <w:ind w:left="720"/>
      <w:contextualSpacing/>
    </w:pPr>
  </w:style>
  <w:style w:type="paragraph" w:styleId="Koptekst">
    <w:name w:val="header"/>
    <w:basedOn w:val="Standaard"/>
    <w:link w:val="KoptekstChar"/>
    <w:uiPriority w:val="99"/>
    <w:unhideWhenUsed/>
    <w:rsid w:val="00F77C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7CD3"/>
  </w:style>
  <w:style w:type="paragraph" w:styleId="Voettekst">
    <w:name w:val="footer"/>
    <w:basedOn w:val="Standaard"/>
    <w:link w:val="VoettekstChar"/>
    <w:uiPriority w:val="99"/>
    <w:unhideWhenUsed/>
    <w:rsid w:val="00F77C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7CD3"/>
  </w:style>
  <w:style w:type="paragraph" w:styleId="Ballontekst">
    <w:name w:val="Balloon Text"/>
    <w:basedOn w:val="Standaard"/>
    <w:link w:val="BallontekstChar"/>
    <w:uiPriority w:val="99"/>
    <w:semiHidden/>
    <w:unhideWhenUsed/>
    <w:rsid w:val="00F77C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7CD3"/>
    <w:rPr>
      <w:rFonts w:ascii="Tahoma" w:hAnsi="Tahoma" w:cs="Tahoma"/>
      <w:sz w:val="16"/>
      <w:szCs w:val="16"/>
    </w:rPr>
  </w:style>
  <w:style w:type="character" w:styleId="Verwijzingopmerking">
    <w:name w:val="annotation reference"/>
    <w:basedOn w:val="Standaardalinea-lettertype"/>
    <w:uiPriority w:val="99"/>
    <w:semiHidden/>
    <w:unhideWhenUsed/>
    <w:rsid w:val="00B64416"/>
    <w:rPr>
      <w:sz w:val="16"/>
      <w:szCs w:val="16"/>
    </w:rPr>
  </w:style>
  <w:style w:type="paragraph" w:styleId="Tekstopmerking">
    <w:name w:val="annotation text"/>
    <w:basedOn w:val="Standaard"/>
    <w:link w:val="TekstopmerkingChar"/>
    <w:uiPriority w:val="99"/>
    <w:semiHidden/>
    <w:unhideWhenUsed/>
    <w:rsid w:val="00B6441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64416"/>
    <w:rPr>
      <w:sz w:val="20"/>
      <w:szCs w:val="20"/>
    </w:rPr>
  </w:style>
  <w:style w:type="paragraph" w:styleId="Onderwerpvanopmerking">
    <w:name w:val="annotation subject"/>
    <w:basedOn w:val="Tekstopmerking"/>
    <w:next w:val="Tekstopmerking"/>
    <w:link w:val="OnderwerpvanopmerkingChar"/>
    <w:uiPriority w:val="99"/>
    <w:semiHidden/>
    <w:unhideWhenUsed/>
    <w:rsid w:val="00B64416"/>
    <w:rPr>
      <w:b/>
      <w:bCs/>
    </w:rPr>
  </w:style>
  <w:style w:type="character" w:customStyle="1" w:styleId="OnderwerpvanopmerkingChar">
    <w:name w:val="Onderwerp van opmerking Char"/>
    <w:basedOn w:val="TekstopmerkingChar"/>
    <w:link w:val="Onderwerpvanopmerking"/>
    <w:uiPriority w:val="99"/>
    <w:semiHidden/>
    <w:rsid w:val="00B644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302783">
      <w:bodyDiv w:val="1"/>
      <w:marLeft w:val="0"/>
      <w:marRight w:val="0"/>
      <w:marTop w:val="0"/>
      <w:marBottom w:val="0"/>
      <w:divBdr>
        <w:top w:val="none" w:sz="0" w:space="0" w:color="auto"/>
        <w:left w:val="none" w:sz="0" w:space="0" w:color="auto"/>
        <w:bottom w:val="none" w:sz="0" w:space="0" w:color="auto"/>
        <w:right w:val="none" w:sz="0" w:space="0" w:color="auto"/>
      </w:divBdr>
    </w:div>
    <w:div w:id="1147627014">
      <w:bodyDiv w:val="1"/>
      <w:marLeft w:val="0"/>
      <w:marRight w:val="0"/>
      <w:marTop w:val="0"/>
      <w:marBottom w:val="0"/>
      <w:divBdr>
        <w:top w:val="none" w:sz="0" w:space="0" w:color="auto"/>
        <w:left w:val="none" w:sz="0" w:space="0" w:color="auto"/>
        <w:bottom w:val="none" w:sz="0" w:space="0" w:color="auto"/>
        <w:right w:val="none" w:sz="0" w:space="0" w:color="auto"/>
      </w:divBdr>
    </w:div>
    <w:div w:id="180099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D503839E</Template>
  <TotalTime>0</TotalTime>
  <Pages>3</Pages>
  <Words>859</Words>
  <Characters>4901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Wilting</dc:creator>
  <cp:lastModifiedBy>Wilting, Peter</cp:lastModifiedBy>
  <cp:revision>3</cp:revision>
  <cp:lastPrinted>2016-04-28T13:39:00Z</cp:lastPrinted>
  <dcterms:created xsi:type="dcterms:W3CDTF">2018-09-14T10:08:00Z</dcterms:created>
  <dcterms:modified xsi:type="dcterms:W3CDTF">2018-09-14T10:24:00Z</dcterms:modified>
</cp:coreProperties>
</file>